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F917" w14:textId="77777777" w:rsidR="008F7FAD" w:rsidRPr="00B73F28" w:rsidRDefault="008F7FAD" w:rsidP="008F7FAD">
      <w:pPr>
        <w:spacing w:after="60"/>
        <w:ind w:left="720"/>
        <w:jc w:val="right"/>
        <w:rPr>
          <w:i/>
        </w:rPr>
      </w:pPr>
      <w:r>
        <w:rPr>
          <w:i/>
        </w:rPr>
        <w:t>Modulo richiesta assegno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828"/>
        <w:gridCol w:w="4964"/>
        <w:gridCol w:w="1503"/>
      </w:tblGrid>
      <w:tr w:rsidR="008F7FAD" w:rsidRPr="00F70053" w14:paraId="4B257B52" w14:textId="77777777" w:rsidTr="005848A0">
        <w:tc>
          <w:tcPr>
            <w:tcW w:w="2333" w:type="dxa"/>
            <w:shd w:val="clear" w:color="auto" w:fill="auto"/>
            <w:vAlign w:val="center"/>
          </w:tcPr>
          <w:p w14:paraId="1E24CEAF" w14:textId="77777777" w:rsidR="008F7FAD" w:rsidRPr="00F70053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br w:type="page"/>
            </w:r>
            <w:r w:rsidRPr="00F70053">
              <w:rPr>
                <w:b/>
                <w:sz w:val="28"/>
                <w:szCs w:val="28"/>
              </w:rPr>
              <w:br w:type="page"/>
            </w:r>
            <w:r w:rsidRPr="00F70053">
              <w:rPr>
                <w:b/>
                <w:sz w:val="28"/>
                <w:szCs w:val="28"/>
              </w:rPr>
              <w:br w:type="page"/>
            </w:r>
            <w:r w:rsidRPr="00F70053">
              <w:rPr>
                <w:b/>
                <w:sz w:val="28"/>
                <w:szCs w:val="28"/>
              </w:rPr>
              <w:br w:type="page"/>
              <w:t>TUTOR</w:t>
            </w:r>
          </w:p>
        </w:tc>
        <w:tc>
          <w:tcPr>
            <w:tcW w:w="7295" w:type="dxa"/>
            <w:gridSpan w:val="3"/>
            <w:shd w:val="clear" w:color="auto" w:fill="auto"/>
            <w:vAlign w:val="center"/>
          </w:tcPr>
          <w:p w14:paraId="0519D5A3" w14:textId="11623751" w:rsidR="008F7FAD" w:rsidRPr="00F70053" w:rsidRDefault="005E3D73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Prof. Giuseppe Gasparre</w:t>
            </w:r>
          </w:p>
        </w:tc>
      </w:tr>
      <w:tr w:rsidR="008F7FAD" w:rsidRPr="00F70053" w14:paraId="0459E4D7" w14:textId="77777777" w:rsidTr="005848A0">
        <w:tc>
          <w:tcPr>
            <w:tcW w:w="2333" w:type="dxa"/>
            <w:shd w:val="clear" w:color="auto" w:fill="auto"/>
            <w:vAlign w:val="center"/>
          </w:tcPr>
          <w:p w14:paraId="77F8DFF6" w14:textId="77777777" w:rsidR="008F7FAD" w:rsidRDefault="008F7FAD" w:rsidP="00945AFC">
            <w:pPr>
              <w:spacing w:before="60" w:after="60"/>
              <w:jc w:val="both"/>
            </w:pPr>
            <w:r>
              <w:t>Fascia VRA</w:t>
            </w:r>
          </w:p>
        </w:tc>
        <w:tc>
          <w:tcPr>
            <w:tcW w:w="5792" w:type="dxa"/>
            <w:gridSpan w:val="2"/>
            <w:shd w:val="clear" w:color="auto" w:fill="auto"/>
            <w:vAlign w:val="center"/>
          </w:tcPr>
          <w:p w14:paraId="21B4E524" w14:textId="77777777" w:rsidR="008F7FAD" w:rsidRPr="00FE6CF6" w:rsidRDefault="008F7FAD" w:rsidP="00945AFC">
            <w:pPr>
              <w:spacing w:before="60" w:after="60"/>
              <w:jc w:val="both"/>
              <w:rPr>
                <w:b/>
                <w:sz w:val="14"/>
                <w:szCs w:val="28"/>
                <w:u w:val="single"/>
              </w:rPr>
            </w:pPr>
            <w:r w:rsidRPr="008F7FAD">
              <w:rPr>
                <w:b/>
                <w:color w:val="548DD4"/>
                <w:sz w:val="14"/>
                <w:szCs w:val="28"/>
                <w:u w:val="single"/>
              </w:rPr>
              <w:t>(compilazione a cura della Giunta)</w:t>
            </w:r>
          </w:p>
        </w:tc>
        <w:tc>
          <w:tcPr>
            <w:tcW w:w="1503" w:type="dxa"/>
            <w:shd w:val="pct10" w:color="FFFF00" w:fill="auto"/>
            <w:vAlign w:val="center"/>
          </w:tcPr>
          <w:p w14:paraId="33C76AD3" w14:textId="77777777" w:rsidR="008F7FAD" w:rsidRPr="00E71E71" w:rsidRDefault="008F7FAD" w:rsidP="00945AFC">
            <w:pPr>
              <w:spacing w:before="60" w:after="60"/>
              <w:jc w:val="both"/>
              <w:rPr>
                <w:i/>
              </w:rPr>
            </w:pPr>
            <w:r w:rsidRPr="00E71E71">
              <w:rPr>
                <w:i/>
              </w:rPr>
              <w:t>Punti</w:t>
            </w:r>
            <w:r>
              <w:rPr>
                <w:i/>
              </w:rPr>
              <w:t xml:space="preserve"> </w:t>
            </w:r>
          </w:p>
        </w:tc>
      </w:tr>
      <w:tr w:rsidR="008F7FAD" w:rsidRPr="00F70053" w14:paraId="5C550576" w14:textId="77777777" w:rsidTr="005848A0">
        <w:tc>
          <w:tcPr>
            <w:tcW w:w="8125" w:type="dxa"/>
            <w:gridSpan w:val="3"/>
            <w:shd w:val="clear" w:color="auto" w:fill="auto"/>
            <w:vAlign w:val="center"/>
          </w:tcPr>
          <w:p w14:paraId="07ACCAD3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E1FF5">
              <w:rPr>
                <w:b/>
                <w:sz w:val="28"/>
                <w:szCs w:val="28"/>
              </w:rPr>
              <w:t xml:space="preserve">PRODUZIONE SCIENTIFICA ASSEGNISTI </w:t>
            </w:r>
            <w:r w:rsidRPr="0083559D">
              <w:rPr>
                <w:b/>
                <w:sz w:val="28"/>
                <w:szCs w:val="28"/>
                <w:u w:val="single"/>
              </w:rPr>
              <w:t>NELL’ULTIMO QUADRIENNIO</w:t>
            </w:r>
          </w:p>
        </w:tc>
        <w:tc>
          <w:tcPr>
            <w:tcW w:w="1503" w:type="dxa"/>
            <w:shd w:val="pct10" w:color="FFFF00" w:fill="auto"/>
            <w:vAlign w:val="center"/>
          </w:tcPr>
          <w:p w14:paraId="0AEDB568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52083">
              <w:rPr>
                <w:i/>
              </w:rPr>
              <w:t>Punti</w:t>
            </w:r>
          </w:p>
        </w:tc>
      </w:tr>
      <w:tr w:rsidR="008F7FAD" w:rsidRPr="00F70053" w14:paraId="4D2BF1E9" w14:textId="77777777" w:rsidTr="005848A0">
        <w:tc>
          <w:tcPr>
            <w:tcW w:w="3161" w:type="dxa"/>
            <w:gridSpan w:val="2"/>
            <w:shd w:val="clear" w:color="auto" w:fill="auto"/>
            <w:vAlign w:val="center"/>
          </w:tcPr>
          <w:p w14:paraId="44BF5FED" w14:textId="77777777" w:rsidR="008F7FAD" w:rsidRPr="0021533C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e n° mesi assegnista 1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14:paraId="7CCFDBB0" w14:textId="0BC0AF72" w:rsidR="008F7FAD" w:rsidRPr="0021533C" w:rsidRDefault="005E3D73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Amato Laura Benedetta (30 mesi)</w:t>
            </w:r>
          </w:p>
        </w:tc>
      </w:tr>
      <w:tr w:rsidR="001F4BC9" w:rsidRPr="00B16EA0" w14:paraId="6F909ECE" w14:textId="77777777" w:rsidTr="005848A0">
        <w:trPr>
          <w:trHeight w:val="594"/>
        </w:trPr>
        <w:tc>
          <w:tcPr>
            <w:tcW w:w="3161" w:type="dxa"/>
            <w:gridSpan w:val="2"/>
            <w:vMerge w:val="restart"/>
            <w:shd w:val="clear" w:color="auto" w:fill="auto"/>
            <w:vAlign w:val="center"/>
          </w:tcPr>
          <w:p w14:paraId="29EC64F7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3559D">
              <w:rPr>
                <w:b/>
                <w:sz w:val="28"/>
                <w:szCs w:val="28"/>
              </w:rPr>
              <w:t>Max. 4</w:t>
            </w:r>
            <w:r>
              <w:rPr>
                <w:sz w:val="28"/>
                <w:szCs w:val="28"/>
              </w:rPr>
              <w:t xml:space="preserve"> lavori in </w:t>
            </w:r>
            <w:proofErr w:type="spellStart"/>
            <w:r>
              <w:rPr>
                <w:sz w:val="28"/>
                <w:szCs w:val="28"/>
              </w:rPr>
              <w:t>extenso</w:t>
            </w:r>
            <w:proofErr w:type="spellEnd"/>
            <w:r>
              <w:rPr>
                <w:sz w:val="28"/>
                <w:szCs w:val="28"/>
              </w:rPr>
              <w:t xml:space="preserve"> su riviste indicizzate </w:t>
            </w:r>
            <w:proofErr w:type="spellStart"/>
            <w:r>
              <w:rPr>
                <w:sz w:val="28"/>
                <w:szCs w:val="28"/>
              </w:rPr>
              <w:t>PubMed</w:t>
            </w:r>
            <w:proofErr w:type="spellEnd"/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14:paraId="115396DD" w14:textId="77777777" w:rsidR="005848A0" w:rsidRPr="002517CA" w:rsidRDefault="005848A0" w:rsidP="005848A0">
            <w:pPr>
              <w:spacing w:before="60" w:after="60"/>
              <w:jc w:val="both"/>
              <w:rPr>
                <w:sz w:val="28"/>
                <w:szCs w:val="28"/>
                <w:lang w:val="en-US"/>
              </w:rPr>
            </w:pPr>
            <w:r w:rsidRPr="002517CA">
              <w:rPr>
                <w:sz w:val="28"/>
                <w:szCs w:val="28"/>
                <w:lang w:val="en-US"/>
              </w:rPr>
              <w:t>Packaging and transfer of mitochondrial DNA via exosomes regulate escape from dormancy in hormonal therapy-resistant breast cancer.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2517CA">
              <w:rPr>
                <w:sz w:val="28"/>
                <w:szCs w:val="28"/>
                <w:lang w:val="en-US"/>
              </w:rPr>
              <w:t xml:space="preserve">Sansone P, </w:t>
            </w:r>
            <w:proofErr w:type="spellStart"/>
            <w:r w:rsidRPr="002517CA">
              <w:rPr>
                <w:sz w:val="28"/>
                <w:szCs w:val="28"/>
                <w:lang w:val="en-US"/>
              </w:rPr>
              <w:t>Savini</w:t>
            </w:r>
            <w:proofErr w:type="spellEnd"/>
            <w:r w:rsidRPr="002517CA">
              <w:rPr>
                <w:sz w:val="28"/>
                <w:szCs w:val="28"/>
                <w:lang w:val="en-US"/>
              </w:rPr>
              <w:t xml:space="preserve"> C, Kurelac I, Chang Q, </w:t>
            </w:r>
            <w:r w:rsidRPr="002517CA">
              <w:rPr>
                <w:b/>
                <w:sz w:val="28"/>
                <w:szCs w:val="28"/>
                <w:lang w:val="en-US"/>
              </w:rPr>
              <w:t>Amato LB</w:t>
            </w:r>
            <w:r w:rsidRPr="002517C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517CA">
              <w:rPr>
                <w:sz w:val="28"/>
                <w:szCs w:val="28"/>
                <w:lang w:val="en-US"/>
              </w:rPr>
              <w:t>Strillacci</w:t>
            </w:r>
            <w:proofErr w:type="spellEnd"/>
            <w:r w:rsidRPr="002517CA">
              <w:rPr>
                <w:sz w:val="28"/>
                <w:szCs w:val="28"/>
                <w:lang w:val="en-US"/>
              </w:rPr>
              <w:t xml:space="preserve"> A, Stepanova A, Iommarini L, </w:t>
            </w:r>
            <w:proofErr w:type="spellStart"/>
            <w:r w:rsidRPr="002517CA">
              <w:rPr>
                <w:sz w:val="28"/>
                <w:szCs w:val="28"/>
                <w:lang w:val="en-US"/>
              </w:rPr>
              <w:t>Mastroleo</w:t>
            </w:r>
            <w:proofErr w:type="spellEnd"/>
            <w:r w:rsidRPr="002517CA">
              <w:rPr>
                <w:sz w:val="28"/>
                <w:szCs w:val="28"/>
                <w:lang w:val="en-US"/>
              </w:rPr>
              <w:t xml:space="preserve"> C, Daly L, Galkin A, Thakur BK, </w:t>
            </w:r>
            <w:proofErr w:type="spellStart"/>
            <w:r w:rsidRPr="002517CA">
              <w:rPr>
                <w:sz w:val="28"/>
                <w:szCs w:val="28"/>
                <w:lang w:val="en-US"/>
              </w:rPr>
              <w:t>Soplop</w:t>
            </w:r>
            <w:proofErr w:type="spellEnd"/>
            <w:r w:rsidRPr="002517CA">
              <w:rPr>
                <w:sz w:val="28"/>
                <w:szCs w:val="28"/>
                <w:lang w:val="en-US"/>
              </w:rPr>
              <w:t xml:space="preserve"> N, </w:t>
            </w:r>
            <w:proofErr w:type="spellStart"/>
            <w:r w:rsidRPr="002517CA">
              <w:rPr>
                <w:sz w:val="28"/>
                <w:szCs w:val="28"/>
                <w:lang w:val="en-US"/>
              </w:rPr>
              <w:t>Uryu</w:t>
            </w:r>
            <w:proofErr w:type="spellEnd"/>
            <w:r w:rsidRPr="002517CA">
              <w:rPr>
                <w:sz w:val="28"/>
                <w:szCs w:val="28"/>
                <w:lang w:val="en-US"/>
              </w:rPr>
              <w:t xml:space="preserve"> K, Hoshino A, Norton L, Bonafé M, </w:t>
            </w:r>
            <w:proofErr w:type="spellStart"/>
            <w:r w:rsidRPr="002517CA">
              <w:rPr>
                <w:sz w:val="28"/>
                <w:szCs w:val="28"/>
                <w:lang w:val="en-US"/>
              </w:rPr>
              <w:t>Cricca</w:t>
            </w:r>
            <w:proofErr w:type="spellEnd"/>
            <w:r w:rsidRPr="002517CA">
              <w:rPr>
                <w:sz w:val="28"/>
                <w:szCs w:val="28"/>
                <w:lang w:val="en-US"/>
              </w:rPr>
              <w:t xml:space="preserve"> M, Gasparre G, </w:t>
            </w:r>
            <w:proofErr w:type="spellStart"/>
            <w:r w:rsidRPr="002517CA">
              <w:rPr>
                <w:sz w:val="28"/>
                <w:szCs w:val="28"/>
                <w:lang w:val="en-US"/>
              </w:rPr>
              <w:t>Lyden</w:t>
            </w:r>
            <w:proofErr w:type="spellEnd"/>
            <w:r w:rsidRPr="002517CA">
              <w:rPr>
                <w:sz w:val="28"/>
                <w:szCs w:val="28"/>
                <w:lang w:val="en-US"/>
              </w:rPr>
              <w:t xml:space="preserve"> D, Bromberg J.</w:t>
            </w:r>
          </w:p>
          <w:p w14:paraId="6CEA3217" w14:textId="0A6646F0" w:rsidR="001F4BC9" w:rsidRPr="005848A0" w:rsidRDefault="005848A0" w:rsidP="005848A0">
            <w:pPr>
              <w:spacing w:before="60" w:after="60"/>
              <w:jc w:val="both"/>
              <w:rPr>
                <w:sz w:val="28"/>
                <w:szCs w:val="28"/>
                <w:lang w:val="en-US"/>
              </w:rPr>
            </w:pPr>
            <w:r w:rsidRPr="002517CA">
              <w:rPr>
                <w:sz w:val="28"/>
                <w:szCs w:val="28"/>
                <w:lang w:val="en-US"/>
              </w:rPr>
              <w:t xml:space="preserve">Proc Natl </w:t>
            </w:r>
            <w:proofErr w:type="spellStart"/>
            <w:r w:rsidRPr="002517CA">
              <w:rPr>
                <w:sz w:val="28"/>
                <w:szCs w:val="28"/>
                <w:lang w:val="en-US"/>
              </w:rPr>
              <w:t>Acad</w:t>
            </w:r>
            <w:proofErr w:type="spellEnd"/>
            <w:r w:rsidRPr="002517CA">
              <w:rPr>
                <w:sz w:val="28"/>
                <w:szCs w:val="28"/>
                <w:lang w:val="en-US"/>
              </w:rPr>
              <w:t xml:space="preserve"> Sci U S A. 2017 Oct 24;114(43</w:t>
            </w:r>
            <w:proofErr w:type="gramStart"/>
            <w:r w:rsidRPr="002517CA">
              <w:rPr>
                <w:sz w:val="28"/>
                <w:szCs w:val="28"/>
                <w:lang w:val="en-US"/>
              </w:rPr>
              <w:t>):E</w:t>
            </w:r>
            <w:proofErr w:type="gramEnd"/>
            <w:r w:rsidRPr="002517CA">
              <w:rPr>
                <w:sz w:val="28"/>
                <w:szCs w:val="28"/>
                <w:lang w:val="en-US"/>
              </w:rPr>
              <w:t xml:space="preserve">9066-E9075. </w:t>
            </w:r>
          </w:p>
        </w:tc>
      </w:tr>
      <w:tr w:rsidR="001F4BC9" w:rsidRPr="00F70053" w14:paraId="0D67B23E" w14:textId="77777777" w:rsidTr="005848A0">
        <w:trPr>
          <w:trHeight w:val="592"/>
        </w:trPr>
        <w:tc>
          <w:tcPr>
            <w:tcW w:w="3161" w:type="dxa"/>
            <w:gridSpan w:val="2"/>
            <w:vMerge/>
            <w:shd w:val="clear" w:color="auto" w:fill="auto"/>
            <w:vAlign w:val="center"/>
          </w:tcPr>
          <w:p w14:paraId="1A2927D2" w14:textId="77777777" w:rsidR="001F4BC9" w:rsidRPr="005848A0" w:rsidDel="00052630" w:rsidRDefault="001F4BC9" w:rsidP="00945AFC">
            <w:pPr>
              <w:spacing w:before="60" w:after="6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14:paraId="78C23D9A" w14:textId="77777777" w:rsidR="005848A0" w:rsidRDefault="005848A0" w:rsidP="005848A0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17CA">
              <w:rPr>
                <w:sz w:val="28"/>
                <w:szCs w:val="28"/>
                <w:lang w:val="en-US"/>
              </w:rPr>
              <w:t xml:space="preserve">Mild phenotypes and proper </w:t>
            </w:r>
            <w:proofErr w:type="spellStart"/>
            <w:r w:rsidRPr="002517CA">
              <w:rPr>
                <w:sz w:val="28"/>
                <w:szCs w:val="28"/>
                <w:lang w:val="en-US"/>
              </w:rPr>
              <w:t>supercomplex</w:t>
            </w:r>
            <w:proofErr w:type="spellEnd"/>
            <w:r w:rsidRPr="002517CA">
              <w:rPr>
                <w:sz w:val="28"/>
                <w:szCs w:val="28"/>
                <w:lang w:val="en-US"/>
              </w:rPr>
              <w:t xml:space="preserve"> assembly in human cells carrying the homoplasmic m.15557G &gt; A mutation in cytochrome b gene.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2517CA">
              <w:rPr>
                <w:sz w:val="28"/>
                <w:szCs w:val="28"/>
              </w:rPr>
              <w:t xml:space="preserve">Iommarini L, Ghelli A, Leone G, Tropeano CV, Kurelac I, </w:t>
            </w:r>
            <w:r w:rsidRPr="00FE30F1">
              <w:rPr>
                <w:b/>
                <w:sz w:val="28"/>
                <w:szCs w:val="28"/>
              </w:rPr>
              <w:t>Amato LB</w:t>
            </w:r>
            <w:r w:rsidRPr="002517CA">
              <w:rPr>
                <w:sz w:val="28"/>
                <w:szCs w:val="28"/>
              </w:rPr>
              <w:t>, Gasparre G, Porcelli AM.</w:t>
            </w:r>
          </w:p>
          <w:p w14:paraId="37E954D1" w14:textId="4EC22DDD" w:rsidR="001F4BC9" w:rsidRPr="0021533C" w:rsidRDefault="005848A0" w:rsidP="005848A0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17CA">
              <w:rPr>
                <w:sz w:val="28"/>
                <w:szCs w:val="28"/>
                <w:lang w:val="en-US"/>
              </w:rPr>
              <w:t xml:space="preserve">Hum </w:t>
            </w:r>
            <w:proofErr w:type="spellStart"/>
            <w:r w:rsidRPr="002517CA">
              <w:rPr>
                <w:sz w:val="28"/>
                <w:szCs w:val="28"/>
                <w:lang w:val="en-US"/>
              </w:rPr>
              <w:t>Mutat</w:t>
            </w:r>
            <w:proofErr w:type="spellEnd"/>
            <w:r w:rsidRPr="002517CA">
              <w:rPr>
                <w:sz w:val="28"/>
                <w:szCs w:val="28"/>
                <w:lang w:val="en-US"/>
              </w:rPr>
              <w:t>. 2018 Jan;39(1):92-102.</w:t>
            </w:r>
          </w:p>
        </w:tc>
      </w:tr>
      <w:tr w:rsidR="001F4BC9" w:rsidRPr="00F70053" w14:paraId="15E7211F" w14:textId="77777777" w:rsidTr="005848A0">
        <w:trPr>
          <w:trHeight w:val="592"/>
        </w:trPr>
        <w:tc>
          <w:tcPr>
            <w:tcW w:w="3161" w:type="dxa"/>
            <w:gridSpan w:val="2"/>
            <w:vMerge/>
            <w:shd w:val="clear" w:color="auto" w:fill="auto"/>
            <w:vAlign w:val="center"/>
          </w:tcPr>
          <w:p w14:paraId="5E2D9F9B" w14:textId="77777777" w:rsidR="001F4BC9" w:rsidDel="00052630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14:paraId="1750E829" w14:textId="64368CFB" w:rsidR="001F4BC9" w:rsidRPr="008C4F7A" w:rsidRDefault="008C4F7A" w:rsidP="008C4F7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B16EA0">
              <w:rPr>
                <w:sz w:val="28"/>
                <w:szCs w:val="28"/>
                <w:lang w:val="en-US"/>
              </w:rPr>
              <w:t xml:space="preserve">Inducing cancer indolence by targeting mitochondrial Complex I is potentiated by blocking macrophage-mediated adaptive responses. </w:t>
            </w:r>
            <w:r w:rsidRPr="008C4F7A">
              <w:rPr>
                <w:sz w:val="28"/>
                <w:szCs w:val="28"/>
              </w:rPr>
              <w:t xml:space="preserve">Kurelac I, Iommarini L, </w:t>
            </w:r>
            <w:proofErr w:type="spellStart"/>
            <w:r w:rsidRPr="008C4F7A">
              <w:rPr>
                <w:sz w:val="28"/>
                <w:szCs w:val="28"/>
              </w:rPr>
              <w:t>Vatrinet</w:t>
            </w:r>
            <w:proofErr w:type="spellEnd"/>
            <w:r w:rsidRPr="008C4F7A">
              <w:rPr>
                <w:sz w:val="28"/>
                <w:szCs w:val="28"/>
              </w:rPr>
              <w:t xml:space="preserve"> R, </w:t>
            </w:r>
            <w:r w:rsidRPr="008C4F7A">
              <w:rPr>
                <w:b/>
                <w:sz w:val="28"/>
                <w:szCs w:val="28"/>
              </w:rPr>
              <w:t>Amato LB</w:t>
            </w:r>
            <w:r w:rsidRPr="008C4F7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et </w:t>
            </w:r>
            <w:proofErr w:type="gramStart"/>
            <w:r>
              <w:rPr>
                <w:sz w:val="28"/>
                <w:szCs w:val="28"/>
              </w:rPr>
              <w:t>al.</w:t>
            </w:r>
            <w:r w:rsidRPr="008C4F7A">
              <w:rPr>
                <w:sz w:val="28"/>
                <w:szCs w:val="28"/>
              </w:rPr>
              <w:t>.</w:t>
            </w:r>
            <w:proofErr w:type="gramEnd"/>
            <w:r w:rsidRPr="008C4F7A">
              <w:rPr>
                <w:sz w:val="28"/>
                <w:szCs w:val="28"/>
              </w:rPr>
              <w:t xml:space="preserve"> </w:t>
            </w:r>
            <w:proofErr w:type="spellStart"/>
            <w:r w:rsidRPr="008C4F7A">
              <w:rPr>
                <w:sz w:val="28"/>
                <w:szCs w:val="28"/>
              </w:rPr>
              <w:t>Nat</w:t>
            </w:r>
            <w:proofErr w:type="spellEnd"/>
            <w:r w:rsidRPr="008C4F7A">
              <w:rPr>
                <w:sz w:val="28"/>
                <w:szCs w:val="28"/>
              </w:rPr>
              <w:t xml:space="preserve"> </w:t>
            </w:r>
            <w:proofErr w:type="spellStart"/>
            <w:r w:rsidRPr="008C4F7A">
              <w:rPr>
                <w:sz w:val="28"/>
                <w:szCs w:val="28"/>
              </w:rPr>
              <w:t>Commun</w:t>
            </w:r>
            <w:proofErr w:type="spellEnd"/>
            <w:r w:rsidRPr="008C4F7A">
              <w:rPr>
                <w:sz w:val="28"/>
                <w:szCs w:val="28"/>
              </w:rPr>
              <w:t xml:space="preserve">. 2019 </w:t>
            </w:r>
            <w:proofErr w:type="spellStart"/>
            <w:r w:rsidRPr="008C4F7A">
              <w:rPr>
                <w:sz w:val="28"/>
                <w:szCs w:val="28"/>
              </w:rPr>
              <w:t>Feb</w:t>
            </w:r>
            <w:proofErr w:type="spellEnd"/>
            <w:r w:rsidRPr="008C4F7A">
              <w:rPr>
                <w:sz w:val="28"/>
                <w:szCs w:val="28"/>
              </w:rPr>
              <w:t xml:space="preserve"> 22;10(1):903</w:t>
            </w:r>
          </w:p>
        </w:tc>
      </w:tr>
      <w:tr w:rsidR="001F4BC9" w:rsidRPr="00F70053" w14:paraId="1843377C" w14:textId="77777777" w:rsidTr="005848A0">
        <w:trPr>
          <w:trHeight w:val="592"/>
        </w:trPr>
        <w:tc>
          <w:tcPr>
            <w:tcW w:w="3161" w:type="dxa"/>
            <w:gridSpan w:val="2"/>
            <w:vMerge/>
            <w:shd w:val="clear" w:color="auto" w:fill="auto"/>
            <w:vAlign w:val="center"/>
          </w:tcPr>
          <w:p w14:paraId="5EEE6CE4" w14:textId="77777777" w:rsidR="001F4BC9" w:rsidDel="00052630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14:paraId="7BD43D5E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B16EA0" w:rsidRPr="0021533C" w14:paraId="4A69B6D9" w14:textId="77777777" w:rsidTr="005848A0">
        <w:trPr>
          <w:trHeight w:val="42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5F18" w14:textId="5EEC7CD1" w:rsidR="00B16EA0" w:rsidRPr="0021533C" w:rsidRDefault="00B16EA0" w:rsidP="00B16EA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Nome e n° mesi assegnista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0DC2" w14:textId="12BD0794" w:rsidR="00B16EA0" w:rsidRPr="0021533C" w:rsidRDefault="00B16EA0" w:rsidP="00B16EA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Girolimetti Giulia (24 mesi)</w:t>
            </w:r>
          </w:p>
        </w:tc>
      </w:tr>
      <w:tr w:rsidR="00B16EA0" w:rsidRPr="00B16EA0" w14:paraId="64E90DA1" w14:textId="77777777" w:rsidTr="005848A0">
        <w:trPr>
          <w:trHeight w:val="594"/>
        </w:trPr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87D6" w14:textId="78D86C3D" w:rsidR="00B16EA0" w:rsidRPr="00FE6CF6" w:rsidRDefault="00B16EA0" w:rsidP="00B16EA0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2D5F">
              <w:rPr>
                <w:b/>
                <w:sz w:val="28"/>
                <w:szCs w:val="28"/>
              </w:rPr>
              <w:t>Max. 4</w:t>
            </w:r>
            <w:r>
              <w:rPr>
                <w:sz w:val="28"/>
                <w:szCs w:val="28"/>
              </w:rPr>
              <w:t xml:space="preserve"> lavori in </w:t>
            </w:r>
            <w:proofErr w:type="spellStart"/>
            <w:r>
              <w:rPr>
                <w:sz w:val="28"/>
                <w:szCs w:val="28"/>
              </w:rPr>
              <w:t>extenso</w:t>
            </w:r>
            <w:proofErr w:type="spellEnd"/>
            <w:r>
              <w:rPr>
                <w:sz w:val="28"/>
                <w:szCs w:val="28"/>
              </w:rPr>
              <w:t xml:space="preserve"> su riviste indicizzate </w:t>
            </w:r>
            <w:proofErr w:type="spellStart"/>
            <w:r>
              <w:rPr>
                <w:sz w:val="28"/>
                <w:szCs w:val="28"/>
              </w:rPr>
              <w:t>PubMed</w:t>
            </w:r>
            <w:proofErr w:type="spellEnd"/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5833" w14:textId="77777777" w:rsidR="00B16EA0" w:rsidRPr="00826CF8" w:rsidRDefault="00B16EA0" w:rsidP="00B16EA0">
            <w:pPr>
              <w:spacing w:before="60" w:after="60"/>
              <w:jc w:val="both"/>
              <w:rPr>
                <w:sz w:val="28"/>
                <w:szCs w:val="28"/>
                <w:lang w:val="en-US"/>
              </w:rPr>
            </w:pPr>
            <w:r w:rsidRPr="002517CA">
              <w:rPr>
                <w:sz w:val="28"/>
                <w:szCs w:val="28"/>
                <w:lang w:val="en-US"/>
              </w:rPr>
              <w:t>Platinum-induced mitochondrial DNA mutations confer lower sensitivity to paclitaxel by impairing tubulin cytoskeletal organization.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26CF8">
              <w:rPr>
                <w:b/>
                <w:sz w:val="28"/>
                <w:szCs w:val="28"/>
                <w:lang w:val="en-US"/>
              </w:rPr>
              <w:t>Girolimetti G</w:t>
            </w:r>
            <w:r w:rsidRPr="00826CF8">
              <w:rPr>
                <w:sz w:val="28"/>
                <w:szCs w:val="28"/>
                <w:lang w:val="en-US"/>
              </w:rPr>
              <w:t>, et al.</w:t>
            </w:r>
          </w:p>
          <w:p w14:paraId="77ED4FB3" w14:textId="77777777" w:rsidR="00B16EA0" w:rsidRPr="002517CA" w:rsidRDefault="00B16EA0" w:rsidP="00B16EA0">
            <w:pPr>
              <w:spacing w:before="60" w:after="60"/>
              <w:jc w:val="both"/>
              <w:rPr>
                <w:sz w:val="28"/>
                <w:szCs w:val="28"/>
                <w:lang w:val="en-US"/>
              </w:rPr>
            </w:pPr>
            <w:r w:rsidRPr="002517CA">
              <w:rPr>
                <w:sz w:val="28"/>
                <w:szCs w:val="28"/>
                <w:lang w:val="en-US"/>
              </w:rPr>
              <w:t xml:space="preserve">Hum Mol Genet. 2017 Aug 1;26(15):2961-2974. </w:t>
            </w:r>
          </w:p>
          <w:p w14:paraId="7A9FF0E2" w14:textId="6617888D" w:rsidR="00B16EA0" w:rsidRPr="005848A0" w:rsidRDefault="00B16EA0" w:rsidP="00B16EA0">
            <w:pPr>
              <w:spacing w:before="60" w:after="60"/>
              <w:jc w:val="both"/>
              <w:rPr>
                <w:sz w:val="28"/>
                <w:szCs w:val="28"/>
                <w:lang w:val="en-US"/>
              </w:rPr>
            </w:pPr>
            <w:r w:rsidRPr="002517CA">
              <w:rPr>
                <w:sz w:val="28"/>
                <w:szCs w:val="28"/>
                <w:lang w:val="en-US"/>
              </w:rPr>
              <w:lastRenderedPageBreak/>
              <w:t>47.</w:t>
            </w:r>
          </w:p>
        </w:tc>
      </w:tr>
      <w:tr w:rsidR="00B16EA0" w:rsidRPr="008C4F7A" w14:paraId="130F7515" w14:textId="77777777" w:rsidTr="005848A0">
        <w:trPr>
          <w:trHeight w:val="59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B952" w14:textId="77777777" w:rsidR="00B16EA0" w:rsidRPr="00B16EA0" w:rsidRDefault="00B16EA0" w:rsidP="00B16EA0">
            <w:pPr>
              <w:spacing w:before="60" w:after="6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64D7" w14:textId="2FDE733F" w:rsidR="00B16EA0" w:rsidRPr="008C4F7A" w:rsidRDefault="00B16EA0" w:rsidP="00B16EA0">
            <w:pPr>
              <w:spacing w:before="60" w:after="60"/>
              <w:jc w:val="both"/>
              <w:rPr>
                <w:sz w:val="28"/>
                <w:szCs w:val="28"/>
                <w:lang w:val="en-US"/>
              </w:rPr>
            </w:pPr>
            <w:r w:rsidRPr="002517CA">
              <w:rPr>
                <w:sz w:val="28"/>
                <w:szCs w:val="28"/>
                <w:lang w:val="en-US"/>
              </w:rPr>
              <w:t>Mitochondrial DNA sequencing demonstrates clonality of peritoneal implant</w:t>
            </w:r>
            <w:r>
              <w:rPr>
                <w:sz w:val="28"/>
                <w:szCs w:val="28"/>
                <w:lang w:val="en-US"/>
              </w:rPr>
              <w:t xml:space="preserve">s of borderline ovarian tumors. </w:t>
            </w:r>
            <w:r w:rsidRPr="005848A0">
              <w:rPr>
                <w:b/>
                <w:sz w:val="28"/>
                <w:szCs w:val="28"/>
                <w:lang w:val="en-US"/>
              </w:rPr>
              <w:t>Girolimetti G</w:t>
            </w:r>
            <w:r w:rsidRPr="005848A0">
              <w:rPr>
                <w:sz w:val="28"/>
                <w:szCs w:val="28"/>
                <w:lang w:val="en-US"/>
              </w:rPr>
              <w:t>, et al.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2517CA">
              <w:rPr>
                <w:sz w:val="28"/>
                <w:szCs w:val="28"/>
                <w:lang w:val="en-US"/>
              </w:rPr>
              <w:t>Mol Cancer. 2017 Feb 27;16(1)</w:t>
            </w:r>
          </w:p>
        </w:tc>
      </w:tr>
      <w:tr w:rsidR="00B16EA0" w:rsidRPr="008C4F7A" w14:paraId="2412FC2E" w14:textId="77777777" w:rsidTr="005848A0">
        <w:trPr>
          <w:trHeight w:val="59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6C89" w14:textId="77777777" w:rsidR="00B16EA0" w:rsidRPr="008C4F7A" w:rsidRDefault="00B16EA0" w:rsidP="00B16EA0">
            <w:pPr>
              <w:spacing w:before="60" w:after="6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AFAA" w14:textId="77777777" w:rsidR="00B16EA0" w:rsidRPr="008C4F7A" w:rsidRDefault="00B16EA0" w:rsidP="00B16EA0">
            <w:pPr>
              <w:spacing w:before="60" w:after="6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16EA0" w:rsidRPr="008C4F7A" w14:paraId="2EEEE8E1" w14:textId="77777777" w:rsidTr="005848A0">
        <w:trPr>
          <w:trHeight w:val="59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2816" w14:textId="77777777" w:rsidR="00B16EA0" w:rsidRPr="008C4F7A" w:rsidRDefault="00B16EA0" w:rsidP="00B16EA0">
            <w:pPr>
              <w:spacing w:before="60" w:after="6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9063" w14:textId="77777777" w:rsidR="00B16EA0" w:rsidRPr="008C4F7A" w:rsidRDefault="00B16EA0" w:rsidP="00B16EA0">
            <w:pPr>
              <w:spacing w:before="60" w:after="6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16EA0" w:rsidRPr="0021533C" w14:paraId="06434C95" w14:textId="77777777" w:rsidTr="005848A0">
        <w:trPr>
          <w:trHeight w:val="417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BB15" w14:textId="06B69846" w:rsidR="00B16EA0" w:rsidRPr="0021533C" w:rsidRDefault="00B16EA0" w:rsidP="00B16EA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E913" w14:textId="23EE4415" w:rsidR="00B16EA0" w:rsidRPr="0021533C" w:rsidRDefault="00B16EA0" w:rsidP="00B16EA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B16EA0" w:rsidRPr="00FE6CF6" w14:paraId="6039B419" w14:textId="77777777" w:rsidTr="005848A0">
        <w:trPr>
          <w:trHeight w:val="594"/>
        </w:trPr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98F7" w14:textId="5E76E7C8" w:rsidR="00B16EA0" w:rsidRPr="0021533C" w:rsidRDefault="00B16EA0" w:rsidP="00B16EA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1557" w14:textId="25FC6336" w:rsidR="00B16EA0" w:rsidRPr="005848A0" w:rsidRDefault="00B16EA0" w:rsidP="00B16EA0">
            <w:pPr>
              <w:spacing w:before="60" w:after="6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16EA0" w:rsidRPr="005848A0" w14:paraId="48998CAD" w14:textId="77777777" w:rsidTr="005848A0">
        <w:trPr>
          <w:trHeight w:val="59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08E9" w14:textId="77777777" w:rsidR="00B16EA0" w:rsidRPr="00472D5F" w:rsidRDefault="00B16EA0" w:rsidP="00B16EA0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A6B6" w14:textId="12A6C358" w:rsidR="00B16EA0" w:rsidRPr="005848A0" w:rsidRDefault="00B16EA0" w:rsidP="00B16EA0">
            <w:pPr>
              <w:spacing w:before="60" w:after="6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16EA0" w:rsidRPr="005848A0" w14:paraId="043B3C86" w14:textId="77777777" w:rsidTr="005848A0">
        <w:trPr>
          <w:trHeight w:val="59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ACA7" w14:textId="77777777" w:rsidR="00B16EA0" w:rsidRPr="005848A0" w:rsidRDefault="00B16EA0" w:rsidP="00B16EA0">
            <w:pPr>
              <w:spacing w:before="60" w:after="6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5A6A" w14:textId="77777777" w:rsidR="00B16EA0" w:rsidRPr="005848A0" w:rsidRDefault="00B16EA0" w:rsidP="00B16EA0">
            <w:pPr>
              <w:spacing w:before="60" w:after="6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16EA0" w:rsidRPr="005848A0" w14:paraId="67AA947F" w14:textId="77777777" w:rsidTr="005848A0">
        <w:trPr>
          <w:trHeight w:val="59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9401" w14:textId="77777777" w:rsidR="00B16EA0" w:rsidRPr="005848A0" w:rsidRDefault="00B16EA0" w:rsidP="00B16EA0">
            <w:pPr>
              <w:spacing w:before="60" w:after="6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D477" w14:textId="77777777" w:rsidR="00B16EA0" w:rsidRPr="005848A0" w:rsidRDefault="00B16EA0" w:rsidP="00B16EA0">
            <w:pPr>
              <w:spacing w:before="60" w:after="6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16EA0" w:rsidRPr="0021533C" w14:paraId="669EF839" w14:textId="77777777" w:rsidTr="005848A0">
        <w:trPr>
          <w:trHeight w:val="43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BFFB" w14:textId="30745677" w:rsidR="00B16EA0" w:rsidRPr="0021533C" w:rsidRDefault="00B16EA0" w:rsidP="00B16EA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AC9D" w14:textId="317D56B6" w:rsidR="00B16EA0" w:rsidRPr="0021533C" w:rsidRDefault="00B16EA0" w:rsidP="00B16EA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B16EA0" w:rsidRPr="00FE6CF6" w14:paraId="3444E623" w14:textId="77777777" w:rsidTr="005848A0">
        <w:trPr>
          <w:trHeight w:val="594"/>
        </w:trPr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7FD7" w14:textId="19D9D62C" w:rsidR="00B16EA0" w:rsidRPr="00FE6CF6" w:rsidRDefault="00B16EA0" w:rsidP="00B16EA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52D8" w14:textId="7A25DE9B" w:rsidR="00B16EA0" w:rsidRPr="0021533C" w:rsidRDefault="00B16EA0" w:rsidP="00B16EA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B16EA0" w:rsidRPr="005848A0" w14:paraId="085B32E8" w14:textId="77777777" w:rsidTr="005848A0">
        <w:trPr>
          <w:trHeight w:val="59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92FF" w14:textId="77777777" w:rsidR="00B16EA0" w:rsidRPr="00472D5F" w:rsidRDefault="00B16EA0" w:rsidP="00B16EA0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2904" w14:textId="54FA252F" w:rsidR="00B16EA0" w:rsidRPr="005848A0" w:rsidRDefault="00B16EA0" w:rsidP="00B16EA0">
            <w:pPr>
              <w:spacing w:before="60" w:after="6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16EA0" w:rsidRPr="005848A0" w14:paraId="390137E3" w14:textId="77777777" w:rsidTr="005848A0">
        <w:trPr>
          <w:trHeight w:val="59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A774" w14:textId="77777777" w:rsidR="00B16EA0" w:rsidRPr="005848A0" w:rsidRDefault="00B16EA0" w:rsidP="00B16EA0">
            <w:pPr>
              <w:spacing w:before="60" w:after="6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D752" w14:textId="77777777" w:rsidR="00B16EA0" w:rsidRPr="005848A0" w:rsidRDefault="00B16EA0" w:rsidP="00B16EA0">
            <w:pPr>
              <w:spacing w:before="60" w:after="6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16EA0" w:rsidRPr="005848A0" w14:paraId="6E000A91" w14:textId="77777777" w:rsidTr="005848A0">
        <w:trPr>
          <w:trHeight w:val="592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C3CC" w14:textId="77777777" w:rsidR="00B16EA0" w:rsidRPr="005848A0" w:rsidRDefault="00B16EA0" w:rsidP="00B16EA0">
            <w:pPr>
              <w:spacing w:before="60" w:after="6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5C20" w14:textId="77777777" w:rsidR="00B16EA0" w:rsidRPr="005848A0" w:rsidRDefault="00B16EA0" w:rsidP="00B16EA0">
            <w:pPr>
              <w:spacing w:before="60" w:after="6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12A25FCE" w14:textId="77777777" w:rsidR="008F7FAD" w:rsidRPr="005848A0" w:rsidRDefault="008F7FAD" w:rsidP="008F7FAD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448"/>
      </w:tblGrid>
      <w:tr w:rsidR="00A231C4" w:rsidRPr="00FE6CF6" w14:paraId="0D31E12F" w14:textId="77777777" w:rsidTr="00D90C0A">
        <w:trPr>
          <w:trHeight w:val="59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1083" w14:textId="77777777" w:rsidR="00A231C4" w:rsidRPr="00460601" w:rsidRDefault="00A231C4" w:rsidP="00D90C0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460601">
              <w:rPr>
                <w:b/>
                <w:sz w:val="28"/>
                <w:szCs w:val="28"/>
              </w:rPr>
              <w:t>Commissione proposta</w:t>
            </w:r>
          </w:p>
          <w:p w14:paraId="53807803" w14:textId="77777777" w:rsidR="00A231C4" w:rsidRPr="00460601" w:rsidRDefault="00A231C4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60601">
              <w:rPr>
                <w:sz w:val="28"/>
                <w:szCs w:val="28"/>
              </w:rPr>
              <w:t xml:space="preserve">3 commissari + </w:t>
            </w:r>
          </w:p>
          <w:p w14:paraId="0288DFD6" w14:textId="77777777" w:rsidR="00A231C4" w:rsidRPr="00FE6CF6" w:rsidRDefault="00A231C4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60601">
              <w:rPr>
                <w:sz w:val="28"/>
                <w:szCs w:val="28"/>
              </w:rPr>
              <w:t>1 supplente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D8ED" w14:textId="36B15D99" w:rsidR="00A231C4" w:rsidRPr="0021533C" w:rsidRDefault="00B16EA0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Giuseppe Gasparre</w:t>
            </w:r>
          </w:p>
        </w:tc>
      </w:tr>
      <w:tr w:rsidR="00A231C4" w:rsidRPr="00FE6CF6" w14:paraId="4941E423" w14:textId="77777777" w:rsidTr="00D90C0A">
        <w:trPr>
          <w:trHeight w:val="59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6D77" w14:textId="77777777" w:rsidR="00A231C4" w:rsidRPr="00472D5F" w:rsidRDefault="00A231C4" w:rsidP="00D90C0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3A35" w14:textId="1004F0A8" w:rsidR="00A231C4" w:rsidRPr="0021533C" w:rsidRDefault="00B16EA0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Dott.ssa Ivana Kurelac</w:t>
            </w:r>
          </w:p>
        </w:tc>
      </w:tr>
      <w:tr w:rsidR="00A231C4" w:rsidRPr="00FE6CF6" w14:paraId="38452A05" w14:textId="77777777" w:rsidTr="00D90C0A">
        <w:trPr>
          <w:trHeight w:val="59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E74E" w14:textId="77777777" w:rsidR="00A231C4" w:rsidRPr="00472D5F" w:rsidRDefault="00A231C4" w:rsidP="00D90C0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9E4F" w14:textId="7571DF1B" w:rsidR="00A231C4" w:rsidRPr="0021533C" w:rsidRDefault="00B16EA0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Dott.ssa Monica De Luise</w:t>
            </w:r>
          </w:p>
        </w:tc>
      </w:tr>
      <w:tr w:rsidR="00A231C4" w:rsidRPr="00FE6CF6" w14:paraId="4E61F104" w14:textId="77777777" w:rsidTr="00D90C0A">
        <w:trPr>
          <w:trHeight w:val="59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DC2E" w14:textId="77777777" w:rsidR="00A231C4" w:rsidRPr="00472D5F" w:rsidRDefault="00A231C4" w:rsidP="00D90C0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ACCD" w14:textId="2F53263A" w:rsidR="00A231C4" w:rsidRPr="0021533C" w:rsidRDefault="00B16EA0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Prof.ssa Anna Maria Porcelli</w:t>
            </w:r>
          </w:p>
        </w:tc>
      </w:tr>
    </w:tbl>
    <w:p w14:paraId="1E67F74E" w14:textId="77777777" w:rsidR="00A231C4" w:rsidRDefault="00A231C4" w:rsidP="008F7FAD">
      <w:pPr>
        <w:jc w:val="both"/>
        <w:rPr>
          <w:b/>
          <w:sz w:val="16"/>
          <w:szCs w:val="16"/>
        </w:rPr>
      </w:pPr>
    </w:p>
    <w:p w14:paraId="15871E71" w14:textId="77777777" w:rsidR="00A231C4" w:rsidRDefault="00A231C4" w:rsidP="008F7FAD">
      <w:pPr>
        <w:jc w:val="both"/>
        <w:rPr>
          <w:b/>
          <w:sz w:val="16"/>
          <w:szCs w:val="16"/>
        </w:rPr>
      </w:pPr>
    </w:p>
    <w:p w14:paraId="7BA783E1" w14:textId="77777777" w:rsidR="00A231C4" w:rsidRPr="00EC0BC6" w:rsidRDefault="00A231C4" w:rsidP="008F7FAD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1630"/>
        <w:gridCol w:w="764"/>
        <w:gridCol w:w="65"/>
        <w:gridCol w:w="845"/>
        <w:gridCol w:w="1488"/>
      </w:tblGrid>
      <w:tr w:rsidR="008F7FAD" w:rsidRPr="00F70053" w14:paraId="66D5C4A6" w14:textId="77777777" w:rsidTr="00945AFC">
        <w:tc>
          <w:tcPr>
            <w:tcW w:w="9854" w:type="dxa"/>
            <w:gridSpan w:val="6"/>
            <w:shd w:val="clear" w:color="auto" w:fill="auto"/>
            <w:vAlign w:val="center"/>
          </w:tcPr>
          <w:p w14:paraId="647B3CBB" w14:textId="77777777" w:rsidR="008F7FAD" w:rsidRPr="00D34E8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34E85">
              <w:rPr>
                <w:b/>
                <w:sz w:val="28"/>
                <w:szCs w:val="28"/>
              </w:rPr>
              <w:t>TITOLO DEL PROGETTO</w:t>
            </w:r>
          </w:p>
        </w:tc>
      </w:tr>
      <w:tr w:rsidR="008F7FAD" w:rsidRPr="00A13B2F" w14:paraId="5D74ED09" w14:textId="77777777" w:rsidTr="00945AFC">
        <w:tc>
          <w:tcPr>
            <w:tcW w:w="9854" w:type="dxa"/>
            <w:gridSpan w:val="6"/>
            <w:shd w:val="clear" w:color="auto" w:fill="auto"/>
          </w:tcPr>
          <w:p w14:paraId="31E5F1AB" w14:textId="5CB7FF5E" w:rsidR="008F7FAD" w:rsidRPr="00A13B2F" w:rsidRDefault="00A13B2F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Studio</w:t>
            </w:r>
            <w:r w:rsidRPr="00A13B2F">
              <w:rPr>
                <w:sz w:val="28"/>
                <w:szCs w:val="28"/>
              </w:rPr>
              <w:t xml:space="preserve"> dei meccanismi </w:t>
            </w:r>
            <w:r w:rsidRPr="00A13B2F">
              <w:rPr>
                <w:bCs/>
                <w:sz w:val="28"/>
                <w:szCs w:val="28"/>
              </w:rPr>
              <w:t>delle vie adattive di angiogenesi</w:t>
            </w:r>
            <w:r>
              <w:rPr>
                <w:bCs/>
                <w:sz w:val="28"/>
                <w:szCs w:val="28"/>
              </w:rPr>
              <w:t xml:space="preserve"> in seguito alla perdita del Complesso I mi</w:t>
            </w:r>
            <w:r w:rsidR="00CF7891">
              <w:rPr>
                <w:bCs/>
                <w:sz w:val="28"/>
                <w:szCs w:val="28"/>
              </w:rPr>
              <w:t>tocondriale nel carcinoma</w:t>
            </w:r>
            <w:r>
              <w:rPr>
                <w:bCs/>
                <w:sz w:val="28"/>
                <w:szCs w:val="28"/>
              </w:rPr>
              <w:t xml:space="preserve"> ovarico.</w:t>
            </w:r>
          </w:p>
        </w:tc>
      </w:tr>
      <w:tr w:rsidR="008F7FAD" w:rsidRPr="00F70053" w14:paraId="2DAAE0D4" w14:textId="77777777" w:rsidTr="00945AFC">
        <w:tc>
          <w:tcPr>
            <w:tcW w:w="4927" w:type="dxa"/>
            <w:shd w:val="clear" w:color="auto" w:fill="auto"/>
            <w:vAlign w:val="center"/>
          </w:tcPr>
          <w:p w14:paraId="69B649C9" w14:textId="77777777" w:rsidR="008F7FAD" w:rsidRDefault="008F7FAD" w:rsidP="00945AFC">
            <w:pPr>
              <w:spacing w:before="60" w:after="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ASSEGNO FINANZIATO DA PROGETTO COMPETITIVO</w:t>
            </w:r>
          </w:p>
          <w:p w14:paraId="113983DB" w14:textId="77777777" w:rsidR="008F7FAD" w:rsidRPr="00F70053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(barrare la casella corrispondente)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684283F" w14:textId="215C2E1B" w:rsidR="008F7FAD" w:rsidRPr="00F70053" w:rsidRDefault="009C5648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44"/>
                <w:szCs w:val="28"/>
              </w:rPr>
              <w:t>x</w:t>
            </w:r>
            <w:r w:rsidR="008F7FAD">
              <w:rPr>
                <w:sz w:val="44"/>
                <w:szCs w:val="28"/>
              </w:rPr>
              <w:t xml:space="preserve"> </w:t>
            </w:r>
            <w:r w:rsidR="008F7FAD">
              <w:rPr>
                <w:sz w:val="28"/>
                <w:szCs w:val="28"/>
              </w:rPr>
              <w:t>SI</w:t>
            </w:r>
          </w:p>
        </w:tc>
        <w:tc>
          <w:tcPr>
            <w:tcW w:w="1723" w:type="dxa"/>
            <w:gridSpan w:val="3"/>
            <w:shd w:val="clear" w:color="auto" w:fill="auto"/>
            <w:vAlign w:val="center"/>
          </w:tcPr>
          <w:p w14:paraId="7708E1DC" w14:textId="77777777" w:rsidR="008F7FAD" w:rsidRPr="00F70053" w:rsidRDefault="008F7FAD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918FB">
              <w:rPr>
                <w:sz w:val="44"/>
                <w:szCs w:val="28"/>
              </w:rPr>
              <w:t>□</w:t>
            </w:r>
            <w:r>
              <w:rPr>
                <w:sz w:val="44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</w:t>
            </w:r>
          </w:p>
        </w:tc>
        <w:tc>
          <w:tcPr>
            <w:tcW w:w="1524" w:type="dxa"/>
            <w:shd w:val="pct10" w:color="FFFF00" w:fill="auto"/>
            <w:vAlign w:val="center"/>
          </w:tcPr>
          <w:p w14:paraId="2ACDA11F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52083">
              <w:rPr>
                <w:i/>
              </w:rPr>
              <w:t>Punti</w:t>
            </w:r>
          </w:p>
        </w:tc>
      </w:tr>
      <w:tr w:rsidR="008F7FAD" w:rsidRPr="00F70053" w14:paraId="20646E4E" w14:textId="77777777" w:rsidTr="00945AFC">
        <w:tc>
          <w:tcPr>
            <w:tcW w:w="4927" w:type="dxa"/>
            <w:shd w:val="clear" w:color="auto" w:fill="auto"/>
            <w:vAlign w:val="center"/>
          </w:tcPr>
          <w:p w14:paraId="0F7FF232" w14:textId="77777777" w:rsidR="008F7FAD" w:rsidRPr="00F70053" w:rsidRDefault="008F7FAD" w:rsidP="00945AFC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1"/>
                <w:szCs w:val="21"/>
              </w:rPr>
              <w:t xml:space="preserve">SE IL FINANZIAMENTO È COMPETITIVO L’ENTE FINANZIATORE </w:t>
            </w:r>
          </w:p>
        </w:tc>
        <w:tc>
          <w:tcPr>
            <w:tcW w:w="4927" w:type="dxa"/>
            <w:gridSpan w:val="5"/>
            <w:shd w:val="clear" w:color="auto" w:fill="auto"/>
            <w:vAlign w:val="center"/>
          </w:tcPr>
          <w:p w14:paraId="3A7B1F16" w14:textId="6861865E" w:rsidR="008F7FAD" w:rsidRPr="00F70053" w:rsidRDefault="009C5648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AIRC</w:t>
            </w:r>
          </w:p>
        </w:tc>
      </w:tr>
      <w:tr w:rsidR="008F7FAD" w:rsidRPr="00F70053" w14:paraId="123C825F" w14:textId="77777777" w:rsidTr="00945AFC">
        <w:tc>
          <w:tcPr>
            <w:tcW w:w="4927" w:type="dxa"/>
            <w:shd w:val="clear" w:color="auto" w:fill="auto"/>
            <w:vAlign w:val="center"/>
          </w:tcPr>
          <w:p w14:paraId="47E85B9C" w14:textId="77777777" w:rsidR="008F7FAD" w:rsidRDefault="008F7FAD" w:rsidP="00945AFC">
            <w:pPr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PROGETTO/ATTIVITÀ A SCOPO COMMERCIALE</w:t>
            </w:r>
          </w:p>
          <w:p w14:paraId="380F4F22" w14:textId="77777777" w:rsidR="008F7FAD" w:rsidRPr="005918FB" w:rsidRDefault="008F7FAD" w:rsidP="00945AFC">
            <w:pPr>
              <w:spacing w:before="60" w:after="60"/>
              <w:rPr>
                <w:i/>
                <w:sz w:val="21"/>
                <w:szCs w:val="21"/>
              </w:rPr>
            </w:pPr>
            <w:r w:rsidRPr="005918FB">
              <w:rPr>
                <w:i/>
                <w:sz w:val="21"/>
                <w:szCs w:val="21"/>
              </w:rPr>
              <w:t>(es. sperimentazione profit)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3E5B8E90" w14:textId="77777777" w:rsidR="008F7FAD" w:rsidRPr="00F70053" w:rsidRDefault="008F7FAD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918FB">
              <w:rPr>
                <w:sz w:val="44"/>
                <w:szCs w:val="28"/>
              </w:rPr>
              <w:t>□</w:t>
            </w:r>
            <w:r>
              <w:rPr>
                <w:sz w:val="44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</w:t>
            </w:r>
          </w:p>
        </w:tc>
        <w:tc>
          <w:tcPr>
            <w:tcW w:w="2464" w:type="dxa"/>
            <w:gridSpan w:val="3"/>
            <w:shd w:val="clear" w:color="auto" w:fill="auto"/>
            <w:vAlign w:val="center"/>
          </w:tcPr>
          <w:p w14:paraId="59790187" w14:textId="631DD742" w:rsidR="008F7FAD" w:rsidRPr="00F70053" w:rsidRDefault="009C5648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44"/>
                <w:szCs w:val="28"/>
              </w:rPr>
              <w:t>x</w:t>
            </w:r>
            <w:r w:rsidR="008F7FAD">
              <w:rPr>
                <w:sz w:val="44"/>
                <w:szCs w:val="28"/>
              </w:rPr>
              <w:t xml:space="preserve"> </w:t>
            </w:r>
            <w:r w:rsidR="008F7FAD">
              <w:rPr>
                <w:sz w:val="28"/>
                <w:szCs w:val="28"/>
              </w:rPr>
              <w:t>NO</w:t>
            </w:r>
          </w:p>
        </w:tc>
      </w:tr>
      <w:tr w:rsidR="008F7FAD" w:rsidRPr="00F70053" w14:paraId="352EF1A0" w14:textId="77777777" w:rsidTr="00945AFC">
        <w:tc>
          <w:tcPr>
            <w:tcW w:w="4927" w:type="dxa"/>
            <w:shd w:val="clear" w:color="auto" w:fill="auto"/>
            <w:vAlign w:val="center"/>
          </w:tcPr>
          <w:p w14:paraId="36622053" w14:textId="77777777" w:rsidR="008F7FAD" w:rsidRPr="00F70053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140C4">
              <w:rPr>
                <w:sz w:val="21"/>
                <w:szCs w:val="21"/>
              </w:rPr>
              <w:t>CARATTERISTICHE DEL PROGETTO</w:t>
            </w:r>
            <w:r>
              <w:rPr>
                <w:sz w:val="21"/>
                <w:szCs w:val="21"/>
              </w:rPr>
              <w:t xml:space="preserve"> (</w:t>
            </w:r>
            <w:r w:rsidRPr="002E1FF5">
              <w:rPr>
                <w:i/>
                <w:sz w:val="21"/>
                <w:szCs w:val="21"/>
              </w:rPr>
              <w:t>biomedico/osservazionale/clinico-interventistico/multidisciplinare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4927" w:type="dxa"/>
            <w:gridSpan w:val="5"/>
            <w:shd w:val="clear" w:color="auto" w:fill="auto"/>
            <w:vAlign w:val="center"/>
          </w:tcPr>
          <w:p w14:paraId="6D7ED143" w14:textId="0AD7FC43" w:rsidR="008F7FAD" w:rsidRPr="00F70053" w:rsidRDefault="009C5648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Biomedico</w:t>
            </w:r>
          </w:p>
        </w:tc>
      </w:tr>
      <w:tr w:rsidR="008F7FAD" w:rsidRPr="00F70053" w14:paraId="2482DE08" w14:textId="77777777" w:rsidTr="00945AFC">
        <w:tc>
          <w:tcPr>
            <w:tcW w:w="4927" w:type="dxa"/>
            <w:shd w:val="clear" w:color="auto" w:fill="auto"/>
            <w:vAlign w:val="center"/>
          </w:tcPr>
          <w:p w14:paraId="64F84B62" w14:textId="77777777" w:rsidR="008F7FAD" w:rsidRPr="002140C4" w:rsidRDefault="008F7FAD" w:rsidP="00945AFC">
            <w:pPr>
              <w:spacing w:before="60" w:after="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STATO DI APPROVAZIONE DEL PROGETTO DA PARTE DEL COMITATO ETICO (</w:t>
            </w:r>
            <w:r w:rsidRPr="002140C4">
              <w:rPr>
                <w:i/>
                <w:sz w:val="21"/>
                <w:szCs w:val="21"/>
              </w:rPr>
              <w:t>se necessario per il tipo di studio</w:t>
            </w:r>
            <w:r>
              <w:rPr>
                <w:i/>
                <w:sz w:val="21"/>
                <w:szCs w:val="21"/>
              </w:rPr>
              <w:t xml:space="preserve"> barrare o evidenziare la casella corrispondente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528" w:type="dxa"/>
            <w:gridSpan w:val="3"/>
            <w:shd w:val="clear" w:color="auto" w:fill="auto"/>
            <w:vAlign w:val="center"/>
          </w:tcPr>
          <w:p w14:paraId="2470DAA6" w14:textId="4F208878" w:rsidR="008F7FAD" w:rsidRPr="00F70053" w:rsidRDefault="009C5648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44"/>
                <w:szCs w:val="28"/>
              </w:rPr>
              <w:t>x</w:t>
            </w:r>
            <w:r w:rsidR="008F7FAD">
              <w:rPr>
                <w:sz w:val="28"/>
                <w:szCs w:val="28"/>
              </w:rPr>
              <w:t xml:space="preserve"> Ottenuto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1880E94D" w14:textId="77777777" w:rsidR="008F7FAD" w:rsidRPr="00F70053" w:rsidRDefault="008F7FAD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918FB">
              <w:rPr>
                <w:sz w:val="44"/>
                <w:szCs w:val="28"/>
              </w:rPr>
              <w:t>□</w:t>
            </w:r>
            <w:r>
              <w:rPr>
                <w:sz w:val="44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Da ottenere</w:t>
            </w:r>
          </w:p>
        </w:tc>
      </w:tr>
      <w:tr w:rsidR="008F7FAD" w:rsidRPr="002E1FF5" w14:paraId="13D803E3" w14:textId="77777777" w:rsidTr="00945AFC">
        <w:tc>
          <w:tcPr>
            <w:tcW w:w="8330" w:type="dxa"/>
            <w:gridSpan w:val="5"/>
            <w:shd w:val="clear" w:color="auto" w:fill="auto"/>
            <w:vAlign w:val="center"/>
          </w:tcPr>
          <w:p w14:paraId="4B8C8F14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DESCRIZIONE</w:t>
            </w:r>
            <w:r w:rsidRPr="00D34E85">
              <w:rPr>
                <w:b/>
                <w:sz w:val="28"/>
                <w:szCs w:val="28"/>
              </w:rPr>
              <w:t xml:space="preserve"> DEL PROGETTO</w:t>
            </w:r>
            <w:r w:rsidRPr="00F70053">
              <w:rPr>
                <w:sz w:val="28"/>
                <w:szCs w:val="28"/>
              </w:rPr>
              <w:t xml:space="preserve"> </w:t>
            </w:r>
            <w:r w:rsidRPr="00F70053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max 8</w:t>
            </w:r>
            <w:r w:rsidRPr="00F70053">
              <w:rPr>
                <w:i/>
                <w:sz w:val="20"/>
                <w:szCs w:val="20"/>
              </w:rPr>
              <w:t>00 parole)</w:t>
            </w:r>
          </w:p>
        </w:tc>
        <w:tc>
          <w:tcPr>
            <w:tcW w:w="1524" w:type="dxa"/>
            <w:shd w:val="pct10" w:color="FFFF00" w:fill="auto"/>
            <w:vAlign w:val="center"/>
          </w:tcPr>
          <w:p w14:paraId="6A59D89E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52083">
              <w:rPr>
                <w:i/>
              </w:rPr>
              <w:t>Punti</w:t>
            </w:r>
          </w:p>
        </w:tc>
      </w:tr>
      <w:tr w:rsidR="008F7FAD" w:rsidRPr="00A4732A" w14:paraId="1C1182E8" w14:textId="77777777" w:rsidTr="00945AFC">
        <w:trPr>
          <w:trHeight w:val="4178"/>
        </w:trPr>
        <w:tc>
          <w:tcPr>
            <w:tcW w:w="9854" w:type="dxa"/>
            <w:gridSpan w:val="6"/>
            <w:shd w:val="clear" w:color="auto" w:fill="auto"/>
          </w:tcPr>
          <w:p w14:paraId="6119D0D0" w14:textId="77777777" w:rsidR="008F7FAD" w:rsidRPr="00DB1934" w:rsidRDefault="008F7FAD" w:rsidP="00945AFC">
            <w:pPr>
              <w:pStyle w:val="NormaleWeb"/>
              <w:spacing w:before="0" w:beforeAutospacing="0" w:after="120" w:afterAutospacing="0"/>
              <w:jc w:val="both"/>
              <w:rPr>
                <w:b/>
                <w:sz w:val="21"/>
                <w:szCs w:val="21"/>
              </w:rPr>
            </w:pPr>
            <w:r w:rsidRPr="00DB1934">
              <w:rPr>
                <w:b/>
                <w:sz w:val="21"/>
                <w:szCs w:val="21"/>
              </w:rPr>
              <w:t>Stato dell’Arte e Razionale</w:t>
            </w:r>
          </w:p>
          <w:p w14:paraId="20496322" w14:textId="317A96EA" w:rsidR="00AC740E" w:rsidRDefault="00AB30A3" w:rsidP="00AB3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B9428F">
              <w:rPr>
                <w:color w:val="000000"/>
                <w:sz w:val="21"/>
                <w:szCs w:val="21"/>
              </w:rPr>
              <w:t>Il cancro ovarico è</w:t>
            </w:r>
            <w:r>
              <w:rPr>
                <w:color w:val="000000"/>
                <w:sz w:val="21"/>
                <w:szCs w:val="21"/>
              </w:rPr>
              <w:t xml:space="preserve"> uno dei tumori con il </w:t>
            </w:r>
            <w:r w:rsidRPr="00B9428F">
              <w:rPr>
                <w:color w:val="000000"/>
                <w:sz w:val="21"/>
                <w:szCs w:val="21"/>
              </w:rPr>
              <w:t>più alto tasso di mortalità</w:t>
            </w:r>
            <w:r>
              <w:rPr>
                <w:color w:val="000000"/>
                <w:sz w:val="21"/>
                <w:szCs w:val="21"/>
              </w:rPr>
              <w:t xml:space="preserve">, soprattutto perché </w:t>
            </w:r>
            <w:r w:rsidR="00043D8A">
              <w:rPr>
                <w:color w:val="000000"/>
                <w:sz w:val="21"/>
                <w:szCs w:val="21"/>
              </w:rPr>
              <w:t xml:space="preserve">spesso </w:t>
            </w:r>
            <w:r>
              <w:rPr>
                <w:color w:val="000000"/>
                <w:sz w:val="21"/>
                <w:szCs w:val="21"/>
              </w:rPr>
              <w:t>diagnosticato a stadi già avanzati, con un tasso di ricorrenza del 75% nell’arco di 5 anni. Da ciò scaturisce la necessità di ricercare nuovi farmaci che consentano di migliorare l</w:t>
            </w:r>
            <w:r w:rsidR="00E70338">
              <w:rPr>
                <w:color w:val="000000"/>
                <w:sz w:val="21"/>
                <w:szCs w:val="21"/>
              </w:rPr>
              <w:t>e</w:t>
            </w:r>
            <w:r>
              <w:rPr>
                <w:color w:val="000000"/>
                <w:sz w:val="21"/>
                <w:szCs w:val="21"/>
              </w:rPr>
              <w:t xml:space="preserve"> probabilità di sopravvivenza</w:t>
            </w:r>
            <w:r w:rsidR="00043D8A">
              <w:rPr>
                <w:color w:val="000000"/>
                <w:sz w:val="21"/>
                <w:szCs w:val="21"/>
              </w:rPr>
              <w:t>, come i</w:t>
            </w:r>
            <w:r w:rsidR="00043D8A" w:rsidRPr="00AA0EB5">
              <w:rPr>
                <w:color w:val="000000"/>
                <w:sz w:val="21"/>
                <w:szCs w:val="21"/>
              </w:rPr>
              <w:t xml:space="preserve"> farmac</w:t>
            </w:r>
            <w:r w:rsidR="00043D8A">
              <w:rPr>
                <w:color w:val="000000"/>
                <w:sz w:val="21"/>
                <w:szCs w:val="21"/>
              </w:rPr>
              <w:t>i</w:t>
            </w:r>
            <w:r w:rsidR="00043D8A" w:rsidRPr="00AA0EB5">
              <w:rPr>
                <w:color w:val="000000"/>
                <w:sz w:val="21"/>
                <w:szCs w:val="21"/>
              </w:rPr>
              <w:t xml:space="preserve"> anti</w:t>
            </w:r>
            <w:r w:rsidR="00043D8A">
              <w:rPr>
                <w:color w:val="000000"/>
                <w:sz w:val="21"/>
                <w:szCs w:val="21"/>
              </w:rPr>
              <w:t>-</w:t>
            </w:r>
            <w:r w:rsidR="00043D8A" w:rsidRPr="00AA0EB5">
              <w:rPr>
                <w:color w:val="000000"/>
                <w:sz w:val="21"/>
                <w:szCs w:val="21"/>
              </w:rPr>
              <w:t>angiogenic</w:t>
            </w:r>
            <w:r w:rsidR="00043D8A">
              <w:rPr>
                <w:color w:val="000000"/>
                <w:sz w:val="21"/>
                <w:szCs w:val="21"/>
              </w:rPr>
              <w:t>i, considerato che l</w:t>
            </w:r>
            <w:r w:rsidR="00D561EA">
              <w:rPr>
                <w:color w:val="000000"/>
                <w:sz w:val="21"/>
                <w:szCs w:val="21"/>
              </w:rPr>
              <w:t xml:space="preserve">’angiogenesi ha un ruolo fondamentale </w:t>
            </w:r>
            <w:r w:rsidR="00043D8A">
              <w:rPr>
                <w:color w:val="000000"/>
                <w:sz w:val="21"/>
                <w:szCs w:val="21"/>
              </w:rPr>
              <w:t>nel</w:t>
            </w:r>
            <w:r w:rsidR="00D561EA">
              <w:rPr>
                <w:color w:val="000000"/>
                <w:sz w:val="21"/>
                <w:szCs w:val="21"/>
              </w:rPr>
              <w:t xml:space="preserve">la progressione tumorale </w:t>
            </w:r>
            <w:r w:rsidR="00043D8A">
              <w:rPr>
                <w:color w:val="000000"/>
                <w:sz w:val="21"/>
                <w:szCs w:val="21"/>
              </w:rPr>
              <w:t xml:space="preserve">nell’ovaio </w:t>
            </w:r>
            <w:r w:rsidR="00D561EA">
              <w:rPr>
                <w:color w:val="000000"/>
                <w:sz w:val="21"/>
                <w:szCs w:val="21"/>
              </w:rPr>
              <w:t xml:space="preserve">attraverso la formazione </w:t>
            </w:r>
            <w:r w:rsidR="00414ABA">
              <w:rPr>
                <w:color w:val="000000"/>
                <w:sz w:val="21"/>
                <w:szCs w:val="21"/>
              </w:rPr>
              <w:t xml:space="preserve">di </w:t>
            </w:r>
            <w:r w:rsidR="00D561EA">
              <w:rPr>
                <w:color w:val="000000"/>
                <w:sz w:val="21"/>
                <w:szCs w:val="21"/>
              </w:rPr>
              <w:t>ascite e metastasi</w:t>
            </w:r>
            <w:r w:rsidR="00043D8A">
              <w:rPr>
                <w:color w:val="000000"/>
                <w:sz w:val="21"/>
                <w:szCs w:val="21"/>
              </w:rPr>
              <w:t>. Un esempio è il</w:t>
            </w:r>
            <w:r w:rsidR="00043D8A" w:rsidRPr="00AA0EB5">
              <w:rPr>
                <w:color w:val="000000"/>
                <w:sz w:val="21"/>
                <w:szCs w:val="21"/>
              </w:rPr>
              <w:t xml:space="preserve"> </w:t>
            </w:r>
            <w:r w:rsidR="00043D8A" w:rsidRPr="00AE4D31">
              <w:rPr>
                <w:color w:val="000000"/>
                <w:sz w:val="21"/>
                <w:szCs w:val="21"/>
              </w:rPr>
              <w:t>Bevacizumab</w:t>
            </w:r>
            <w:r w:rsidR="00043D8A">
              <w:rPr>
                <w:color w:val="000000"/>
                <w:sz w:val="21"/>
                <w:szCs w:val="21"/>
              </w:rPr>
              <w:t xml:space="preserve">, che </w:t>
            </w:r>
            <w:r w:rsidR="0028376E">
              <w:rPr>
                <w:color w:val="000000"/>
                <w:sz w:val="21"/>
                <w:szCs w:val="21"/>
              </w:rPr>
              <w:t xml:space="preserve">ha mostrato </w:t>
            </w:r>
            <w:r w:rsidR="00696151">
              <w:rPr>
                <w:color w:val="000000"/>
                <w:sz w:val="21"/>
                <w:szCs w:val="21"/>
              </w:rPr>
              <w:t xml:space="preserve">però </w:t>
            </w:r>
            <w:r w:rsidR="0028376E">
              <w:rPr>
                <w:color w:val="000000"/>
                <w:sz w:val="21"/>
                <w:szCs w:val="21"/>
              </w:rPr>
              <w:t xml:space="preserve">un’efficacia limitata </w:t>
            </w:r>
            <w:r w:rsidR="005C6854">
              <w:rPr>
                <w:color w:val="000000"/>
                <w:sz w:val="21"/>
                <w:szCs w:val="21"/>
              </w:rPr>
              <w:t>accompagnata</w:t>
            </w:r>
            <w:r w:rsidR="0028376E">
              <w:rPr>
                <w:color w:val="000000"/>
                <w:sz w:val="21"/>
                <w:szCs w:val="21"/>
              </w:rPr>
              <w:t xml:space="preserve"> da</w:t>
            </w:r>
            <w:r w:rsidR="005C6854">
              <w:rPr>
                <w:color w:val="000000"/>
                <w:sz w:val="21"/>
                <w:szCs w:val="21"/>
              </w:rPr>
              <w:t>lla</w:t>
            </w:r>
            <w:r w:rsidR="0028376E">
              <w:rPr>
                <w:color w:val="000000"/>
                <w:sz w:val="21"/>
                <w:szCs w:val="21"/>
              </w:rPr>
              <w:t xml:space="preserve"> comparsa di tolleranza</w:t>
            </w:r>
            <w:r w:rsidR="00D561EA">
              <w:rPr>
                <w:color w:val="000000"/>
                <w:sz w:val="21"/>
                <w:szCs w:val="21"/>
              </w:rPr>
              <w:t xml:space="preserve">, </w:t>
            </w:r>
            <w:r w:rsidR="005C6854">
              <w:rPr>
                <w:color w:val="000000"/>
                <w:sz w:val="21"/>
                <w:szCs w:val="21"/>
              </w:rPr>
              <w:t>a causa di</w:t>
            </w:r>
            <w:r w:rsidR="0028376E">
              <w:rPr>
                <w:color w:val="000000"/>
                <w:sz w:val="21"/>
                <w:szCs w:val="21"/>
              </w:rPr>
              <w:t xml:space="preserve"> una serie di processi adattativi </w:t>
            </w:r>
            <w:r w:rsidR="005C6854">
              <w:rPr>
                <w:color w:val="000000"/>
                <w:sz w:val="21"/>
                <w:szCs w:val="21"/>
              </w:rPr>
              <w:t>del tumore</w:t>
            </w:r>
            <w:r w:rsidR="0028376E">
              <w:rPr>
                <w:color w:val="000000"/>
                <w:sz w:val="21"/>
                <w:szCs w:val="21"/>
              </w:rPr>
              <w:t xml:space="preserve">, </w:t>
            </w:r>
            <w:r w:rsidR="00696151">
              <w:rPr>
                <w:color w:val="000000"/>
                <w:sz w:val="21"/>
                <w:szCs w:val="21"/>
              </w:rPr>
              <w:t xml:space="preserve">tra cui </w:t>
            </w:r>
            <w:r w:rsidR="0028376E">
              <w:rPr>
                <w:color w:val="000000"/>
                <w:sz w:val="21"/>
                <w:szCs w:val="21"/>
              </w:rPr>
              <w:t xml:space="preserve">l’incremento </w:t>
            </w:r>
            <w:r w:rsidR="00696151" w:rsidRPr="007059A5">
              <w:rPr>
                <w:color w:val="000000"/>
                <w:sz w:val="21"/>
                <w:szCs w:val="21"/>
              </w:rPr>
              <w:t xml:space="preserve">del fattore </w:t>
            </w:r>
            <w:r w:rsidR="005C6854">
              <w:rPr>
                <w:color w:val="000000"/>
                <w:sz w:val="21"/>
                <w:szCs w:val="21"/>
              </w:rPr>
              <w:t xml:space="preserve">pro-angiogenico </w:t>
            </w:r>
            <w:r w:rsidR="00696151" w:rsidRPr="007059A5">
              <w:rPr>
                <w:color w:val="000000"/>
                <w:sz w:val="21"/>
                <w:szCs w:val="21"/>
              </w:rPr>
              <w:t xml:space="preserve">ipossia-inducibile 1-α </w:t>
            </w:r>
            <w:r w:rsidR="00696151">
              <w:rPr>
                <w:color w:val="000000"/>
                <w:sz w:val="21"/>
                <w:szCs w:val="21"/>
              </w:rPr>
              <w:t>(</w:t>
            </w:r>
            <w:r w:rsidR="0028376E" w:rsidRPr="00B9428F">
              <w:rPr>
                <w:color w:val="000000"/>
                <w:sz w:val="21"/>
                <w:szCs w:val="21"/>
              </w:rPr>
              <w:t>HIF1</w:t>
            </w:r>
            <w:r w:rsidR="0028376E" w:rsidRPr="00B9428F">
              <w:rPr>
                <w:color w:val="000000"/>
                <w:sz w:val="21"/>
                <w:szCs w:val="21"/>
              </w:rPr>
              <w:sym w:font="Symbol" w:char="F061"/>
            </w:r>
            <w:r w:rsidR="00696151">
              <w:rPr>
                <w:color w:val="000000"/>
                <w:sz w:val="21"/>
                <w:szCs w:val="21"/>
              </w:rPr>
              <w:t>)</w:t>
            </w:r>
            <w:r w:rsidR="0028376E">
              <w:rPr>
                <w:color w:val="000000"/>
                <w:sz w:val="21"/>
                <w:szCs w:val="21"/>
              </w:rPr>
              <w:t xml:space="preserve">. </w:t>
            </w:r>
            <w:r w:rsidRPr="007059A5">
              <w:rPr>
                <w:color w:val="000000"/>
                <w:sz w:val="21"/>
                <w:szCs w:val="21"/>
              </w:rPr>
              <w:t>È stato dimost</w:t>
            </w:r>
            <w:r w:rsidR="00BC59EE">
              <w:rPr>
                <w:color w:val="000000"/>
                <w:sz w:val="21"/>
                <w:szCs w:val="21"/>
              </w:rPr>
              <w:t>r</w:t>
            </w:r>
            <w:r w:rsidRPr="007059A5">
              <w:rPr>
                <w:color w:val="000000"/>
                <w:sz w:val="21"/>
                <w:szCs w:val="21"/>
              </w:rPr>
              <w:t>ato che l’assenza di funzionalità del C</w:t>
            </w:r>
            <w:r w:rsidR="0012253E">
              <w:rPr>
                <w:color w:val="000000"/>
                <w:sz w:val="21"/>
                <w:szCs w:val="21"/>
              </w:rPr>
              <w:t xml:space="preserve">omplesso </w:t>
            </w:r>
            <w:r w:rsidRPr="007059A5">
              <w:rPr>
                <w:color w:val="000000"/>
                <w:sz w:val="21"/>
                <w:szCs w:val="21"/>
              </w:rPr>
              <w:t>I</w:t>
            </w:r>
            <w:r w:rsidR="0012253E">
              <w:rPr>
                <w:color w:val="000000"/>
                <w:sz w:val="21"/>
                <w:szCs w:val="21"/>
              </w:rPr>
              <w:t xml:space="preserve"> (CI) mitocondriale</w:t>
            </w:r>
            <w:r w:rsidRPr="007059A5">
              <w:rPr>
                <w:color w:val="000000"/>
                <w:sz w:val="21"/>
                <w:szCs w:val="21"/>
              </w:rPr>
              <w:t xml:space="preserve"> </w:t>
            </w:r>
            <w:r w:rsidR="00BC59EE">
              <w:rPr>
                <w:color w:val="000000"/>
                <w:sz w:val="21"/>
                <w:szCs w:val="21"/>
              </w:rPr>
              <w:t>impedi</w:t>
            </w:r>
            <w:r w:rsidR="00043D8A">
              <w:rPr>
                <w:color w:val="000000"/>
                <w:sz w:val="21"/>
                <w:szCs w:val="21"/>
              </w:rPr>
              <w:t>sce</w:t>
            </w:r>
            <w:r w:rsidR="00BC59EE" w:rsidRPr="007059A5">
              <w:rPr>
                <w:color w:val="000000"/>
                <w:sz w:val="21"/>
                <w:szCs w:val="21"/>
              </w:rPr>
              <w:t xml:space="preserve"> alle cellule tumorali di adattarsi all'</w:t>
            </w:r>
            <w:r w:rsidR="00BC59EE">
              <w:rPr>
                <w:color w:val="000000"/>
                <w:sz w:val="21"/>
                <w:szCs w:val="21"/>
              </w:rPr>
              <w:t xml:space="preserve"> </w:t>
            </w:r>
            <w:r w:rsidR="00BC59EE" w:rsidRPr="007059A5">
              <w:rPr>
                <w:color w:val="000000"/>
                <w:sz w:val="21"/>
                <w:szCs w:val="21"/>
              </w:rPr>
              <w:t>ipossia</w:t>
            </w:r>
            <w:r w:rsidRPr="007059A5">
              <w:rPr>
                <w:color w:val="000000"/>
                <w:sz w:val="21"/>
                <w:szCs w:val="21"/>
              </w:rPr>
              <w:t xml:space="preserve"> </w:t>
            </w:r>
            <w:r w:rsidR="00BC59EE">
              <w:rPr>
                <w:color w:val="000000"/>
                <w:sz w:val="21"/>
                <w:szCs w:val="21"/>
              </w:rPr>
              <w:t xml:space="preserve">attraverso </w:t>
            </w:r>
            <w:r w:rsidRPr="007059A5">
              <w:rPr>
                <w:color w:val="000000"/>
                <w:sz w:val="21"/>
                <w:szCs w:val="21"/>
              </w:rPr>
              <w:t xml:space="preserve">la destabilizzazione </w:t>
            </w:r>
            <w:r w:rsidR="00696151">
              <w:rPr>
                <w:color w:val="000000"/>
                <w:sz w:val="21"/>
                <w:szCs w:val="21"/>
              </w:rPr>
              <w:t xml:space="preserve">di </w:t>
            </w:r>
            <w:r w:rsidRPr="007059A5">
              <w:rPr>
                <w:color w:val="000000"/>
                <w:sz w:val="21"/>
                <w:szCs w:val="21"/>
              </w:rPr>
              <w:t>HIF1α</w:t>
            </w:r>
            <w:r w:rsidR="00BC59EE">
              <w:rPr>
                <w:color w:val="000000"/>
                <w:sz w:val="21"/>
                <w:szCs w:val="21"/>
              </w:rPr>
              <w:t>, ridu</w:t>
            </w:r>
            <w:r w:rsidR="00503F90">
              <w:rPr>
                <w:color w:val="000000"/>
                <w:sz w:val="21"/>
                <w:szCs w:val="21"/>
              </w:rPr>
              <w:t>cendone il</w:t>
            </w:r>
            <w:r w:rsidRPr="007059A5">
              <w:rPr>
                <w:color w:val="000000"/>
                <w:sz w:val="21"/>
                <w:szCs w:val="21"/>
              </w:rPr>
              <w:t xml:space="preserve"> potenziale </w:t>
            </w:r>
            <w:proofErr w:type="spellStart"/>
            <w:r w:rsidRPr="007059A5">
              <w:rPr>
                <w:color w:val="000000"/>
                <w:sz w:val="21"/>
                <w:szCs w:val="21"/>
              </w:rPr>
              <w:t>tumorigenico</w:t>
            </w:r>
            <w:proofErr w:type="spellEnd"/>
            <w:r>
              <w:rPr>
                <w:color w:val="000000"/>
                <w:sz w:val="21"/>
                <w:szCs w:val="21"/>
              </w:rPr>
              <w:t>.</w:t>
            </w:r>
            <w:r w:rsidRPr="007059A5">
              <w:rPr>
                <w:color w:val="000000"/>
                <w:sz w:val="21"/>
                <w:szCs w:val="21"/>
              </w:rPr>
              <w:t xml:space="preserve"> </w:t>
            </w:r>
            <w:r w:rsidR="00182836" w:rsidRPr="00B54BB5">
              <w:rPr>
                <w:color w:val="000000"/>
                <w:sz w:val="21"/>
                <w:szCs w:val="21"/>
              </w:rPr>
              <w:t xml:space="preserve">Pertanto, </w:t>
            </w:r>
            <w:r w:rsidR="00182836">
              <w:rPr>
                <w:color w:val="000000"/>
                <w:sz w:val="21"/>
                <w:szCs w:val="21"/>
              </w:rPr>
              <w:t xml:space="preserve">un modo per incrementare l’efficienza del </w:t>
            </w:r>
            <w:r w:rsidR="00182836" w:rsidRPr="00AE4D31">
              <w:rPr>
                <w:color w:val="000000"/>
                <w:sz w:val="21"/>
                <w:szCs w:val="21"/>
              </w:rPr>
              <w:t>Bevacizumab</w:t>
            </w:r>
            <w:r w:rsidR="00182836" w:rsidRPr="00B54BB5">
              <w:rPr>
                <w:color w:val="000000"/>
                <w:sz w:val="21"/>
                <w:szCs w:val="21"/>
              </w:rPr>
              <w:t xml:space="preserve"> </w:t>
            </w:r>
            <w:r w:rsidR="00182836">
              <w:rPr>
                <w:color w:val="000000"/>
                <w:sz w:val="21"/>
                <w:szCs w:val="21"/>
              </w:rPr>
              <w:t xml:space="preserve">nel cancro ovarico potrebbe essere quello di </w:t>
            </w:r>
            <w:r w:rsidR="00182836" w:rsidRPr="00B54BB5">
              <w:rPr>
                <w:color w:val="000000"/>
                <w:sz w:val="21"/>
                <w:szCs w:val="21"/>
              </w:rPr>
              <w:t xml:space="preserve">bersagliare il CI </w:t>
            </w:r>
            <w:r w:rsidR="00182836">
              <w:rPr>
                <w:color w:val="000000"/>
                <w:sz w:val="21"/>
                <w:szCs w:val="21"/>
              </w:rPr>
              <w:t>al fine di</w:t>
            </w:r>
            <w:r w:rsidR="00182836" w:rsidRPr="00B54BB5">
              <w:rPr>
                <w:color w:val="000000"/>
                <w:sz w:val="21"/>
                <w:szCs w:val="21"/>
              </w:rPr>
              <w:t xml:space="preserve"> impedire </w:t>
            </w:r>
            <w:r w:rsidR="00182836">
              <w:rPr>
                <w:color w:val="000000"/>
                <w:sz w:val="21"/>
                <w:szCs w:val="21"/>
              </w:rPr>
              <w:t xml:space="preserve">la stabilizzazione di </w:t>
            </w:r>
            <w:r w:rsidR="00182836" w:rsidRPr="00B9428F">
              <w:rPr>
                <w:color w:val="000000"/>
                <w:sz w:val="21"/>
                <w:szCs w:val="21"/>
              </w:rPr>
              <w:t>HIF1</w:t>
            </w:r>
            <w:r w:rsidR="00182836" w:rsidRPr="00B9428F">
              <w:rPr>
                <w:color w:val="000000"/>
                <w:sz w:val="21"/>
                <w:szCs w:val="21"/>
              </w:rPr>
              <w:sym w:font="Symbol" w:char="F061"/>
            </w:r>
            <w:r w:rsidR="00AC740E">
              <w:rPr>
                <w:color w:val="000000"/>
                <w:sz w:val="21"/>
                <w:szCs w:val="21"/>
              </w:rPr>
              <w:t>.</w:t>
            </w:r>
            <w:r w:rsidR="00182836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Tuttavia, l</w:t>
            </w:r>
            <w:r w:rsidRPr="007059A5">
              <w:rPr>
                <w:color w:val="000000"/>
                <w:sz w:val="21"/>
                <w:szCs w:val="21"/>
              </w:rPr>
              <w:t xml:space="preserve">e cellule tumorali CI-nulle sono in grado di sopravvivere </w:t>
            </w:r>
            <w:r w:rsidRPr="007059A5">
              <w:rPr>
                <w:i/>
                <w:color w:val="000000"/>
                <w:sz w:val="21"/>
                <w:szCs w:val="21"/>
              </w:rPr>
              <w:t>in vivo</w:t>
            </w:r>
            <w:r w:rsidRPr="007059A5">
              <w:rPr>
                <w:color w:val="000000"/>
                <w:sz w:val="21"/>
                <w:szCs w:val="21"/>
              </w:rPr>
              <w:t xml:space="preserve"> e di riadattarsi nel tempo</w:t>
            </w:r>
            <w:r w:rsidR="00043D8A">
              <w:rPr>
                <w:color w:val="000000"/>
                <w:sz w:val="21"/>
                <w:szCs w:val="21"/>
              </w:rPr>
              <w:t>,</w:t>
            </w:r>
            <w:r w:rsidRPr="007059A5">
              <w:rPr>
                <w:color w:val="000000"/>
                <w:sz w:val="21"/>
                <w:szCs w:val="21"/>
              </w:rPr>
              <w:t xml:space="preserve"> ristrutturando il loro microambiente in modo da promuovere </w:t>
            </w:r>
            <w:r w:rsidR="00DF012C">
              <w:rPr>
                <w:color w:val="000000"/>
                <w:sz w:val="21"/>
                <w:szCs w:val="21"/>
              </w:rPr>
              <w:t>l’</w:t>
            </w:r>
            <w:r w:rsidRPr="007059A5">
              <w:rPr>
                <w:color w:val="000000"/>
                <w:sz w:val="21"/>
                <w:szCs w:val="21"/>
              </w:rPr>
              <w:t>angiogenesi mediata dai macrofagi associati al tumore</w:t>
            </w:r>
            <w:r w:rsidR="008F1C47">
              <w:rPr>
                <w:color w:val="000000"/>
                <w:sz w:val="21"/>
                <w:szCs w:val="21"/>
              </w:rPr>
              <w:t>.</w:t>
            </w:r>
            <w:r w:rsidR="00DF012C">
              <w:rPr>
                <w:color w:val="000000"/>
                <w:sz w:val="21"/>
                <w:szCs w:val="21"/>
              </w:rPr>
              <w:t xml:space="preserve"> </w:t>
            </w:r>
            <w:r w:rsidRPr="007059A5">
              <w:rPr>
                <w:color w:val="000000"/>
                <w:sz w:val="21"/>
                <w:szCs w:val="21"/>
              </w:rPr>
              <w:t>In</w:t>
            </w:r>
            <w:r w:rsidR="008F1C47">
              <w:rPr>
                <w:color w:val="000000"/>
                <w:sz w:val="21"/>
                <w:szCs w:val="21"/>
              </w:rPr>
              <w:t>oltre, in</w:t>
            </w:r>
            <w:r w:rsidRPr="007059A5">
              <w:rPr>
                <w:color w:val="000000"/>
                <w:sz w:val="21"/>
                <w:szCs w:val="21"/>
              </w:rPr>
              <w:t xml:space="preserve"> seguito al danno mitocondriale causato dall’assenza del CI si osserva l’attivazione di un meccanismo compensatorio mediato da</w:t>
            </w:r>
            <w:r w:rsidR="00CA6421">
              <w:rPr>
                <w:color w:val="000000"/>
                <w:sz w:val="21"/>
                <w:szCs w:val="21"/>
              </w:rPr>
              <w:t xml:space="preserve">l fattore </w:t>
            </w:r>
            <w:r w:rsidR="00CA6421" w:rsidRPr="007059A5">
              <w:rPr>
                <w:color w:val="000000"/>
                <w:sz w:val="21"/>
                <w:szCs w:val="21"/>
              </w:rPr>
              <w:t>di trascrizione</w:t>
            </w:r>
            <w:r w:rsidRPr="007059A5">
              <w:rPr>
                <w:color w:val="000000"/>
                <w:sz w:val="21"/>
                <w:szCs w:val="21"/>
              </w:rPr>
              <w:t xml:space="preserve"> PGC1</w:t>
            </w:r>
            <w:r w:rsidRPr="007059A5">
              <w:rPr>
                <w:color w:val="000000"/>
                <w:sz w:val="21"/>
                <w:szCs w:val="21"/>
              </w:rPr>
              <w:sym w:font="Symbol" w:char="F061"/>
            </w:r>
            <w:r w:rsidRPr="007059A5">
              <w:rPr>
                <w:color w:val="000000"/>
                <w:sz w:val="21"/>
                <w:szCs w:val="21"/>
              </w:rPr>
              <w:t xml:space="preserve">, coinvolto </w:t>
            </w:r>
            <w:r w:rsidR="00E673E7">
              <w:rPr>
                <w:color w:val="000000"/>
                <w:sz w:val="21"/>
                <w:szCs w:val="21"/>
              </w:rPr>
              <w:t xml:space="preserve">oltre che </w:t>
            </w:r>
            <w:r w:rsidRPr="007059A5">
              <w:rPr>
                <w:color w:val="000000"/>
                <w:sz w:val="21"/>
                <w:szCs w:val="21"/>
              </w:rPr>
              <w:t>nella biogenesi mitocondriale</w:t>
            </w:r>
            <w:r w:rsidR="00E673E7">
              <w:rPr>
                <w:color w:val="000000"/>
                <w:sz w:val="21"/>
                <w:szCs w:val="21"/>
              </w:rPr>
              <w:t>,</w:t>
            </w:r>
            <w:r w:rsidR="00DF012C">
              <w:rPr>
                <w:color w:val="000000"/>
                <w:sz w:val="21"/>
                <w:szCs w:val="21"/>
              </w:rPr>
              <w:t xml:space="preserve"> anche nella</w:t>
            </w:r>
            <w:r w:rsidR="005142DD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DA3AE0">
              <w:rPr>
                <w:color w:val="000000"/>
                <w:sz w:val="21"/>
                <w:szCs w:val="21"/>
              </w:rPr>
              <w:t>neo</w:t>
            </w:r>
            <w:r w:rsidRPr="007059A5">
              <w:rPr>
                <w:color w:val="000000"/>
                <w:sz w:val="21"/>
                <w:szCs w:val="21"/>
              </w:rPr>
              <w:t>angiogenesi</w:t>
            </w:r>
            <w:proofErr w:type="spellEnd"/>
            <w:r w:rsidR="00DA3AE0">
              <w:rPr>
                <w:color w:val="000000"/>
                <w:sz w:val="21"/>
                <w:szCs w:val="21"/>
              </w:rPr>
              <w:t>,</w:t>
            </w:r>
            <w:r w:rsidRPr="007059A5">
              <w:rPr>
                <w:color w:val="000000"/>
                <w:sz w:val="21"/>
                <w:szCs w:val="21"/>
              </w:rPr>
              <w:t xml:space="preserve"> indipendentemente da HIF1</w:t>
            </w:r>
            <w:r w:rsidRPr="007059A5">
              <w:rPr>
                <w:color w:val="000000"/>
                <w:sz w:val="21"/>
                <w:szCs w:val="21"/>
                <w:lang w:val="en-US"/>
              </w:rPr>
              <w:sym w:font="Symbol" w:char="F061"/>
            </w:r>
            <w:r w:rsidR="00DF012C" w:rsidRPr="00DF012C">
              <w:rPr>
                <w:color w:val="000000"/>
                <w:sz w:val="21"/>
                <w:szCs w:val="21"/>
              </w:rPr>
              <w:t>.</w:t>
            </w:r>
            <w:r w:rsidR="00DF012C">
              <w:rPr>
                <w:color w:val="000000"/>
                <w:sz w:val="21"/>
                <w:szCs w:val="21"/>
              </w:rPr>
              <w:t xml:space="preserve"> Infatti, </w:t>
            </w:r>
            <w:r w:rsidR="00DF012C" w:rsidRPr="007059A5">
              <w:rPr>
                <w:color w:val="000000"/>
                <w:sz w:val="21"/>
                <w:szCs w:val="21"/>
              </w:rPr>
              <w:t>PGC1</w:t>
            </w:r>
            <w:r w:rsidR="00DF012C" w:rsidRPr="007059A5">
              <w:rPr>
                <w:color w:val="000000"/>
                <w:sz w:val="21"/>
                <w:szCs w:val="21"/>
              </w:rPr>
              <w:sym w:font="Symbol" w:char="F061"/>
            </w:r>
            <w:r w:rsidR="00DF012C" w:rsidRPr="007059A5">
              <w:rPr>
                <w:color w:val="000000"/>
                <w:sz w:val="21"/>
                <w:szCs w:val="21"/>
              </w:rPr>
              <w:t xml:space="preserve">, </w:t>
            </w:r>
            <w:r w:rsidRPr="007059A5">
              <w:rPr>
                <w:color w:val="000000"/>
                <w:sz w:val="21"/>
                <w:szCs w:val="21"/>
              </w:rPr>
              <w:t>attraverso l’interazione con il recettore degli estrogeni ERR</w:t>
            </w:r>
            <w:r w:rsidRPr="007059A5">
              <w:rPr>
                <w:color w:val="000000"/>
                <w:sz w:val="21"/>
                <w:szCs w:val="21"/>
                <w:lang w:val="en-US"/>
              </w:rPr>
              <w:sym w:font="Symbol" w:char="F061"/>
            </w:r>
            <w:r w:rsidRPr="007059A5">
              <w:rPr>
                <w:color w:val="000000"/>
                <w:sz w:val="21"/>
                <w:szCs w:val="21"/>
              </w:rPr>
              <w:t xml:space="preserve">, </w:t>
            </w:r>
            <w:r w:rsidR="00DF012C">
              <w:rPr>
                <w:color w:val="000000"/>
                <w:sz w:val="21"/>
                <w:szCs w:val="21"/>
              </w:rPr>
              <w:t xml:space="preserve">potrebbe </w:t>
            </w:r>
            <w:r w:rsidRPr="007059A5">
              <w:rPr>
                <w:color w:val="000000"/>
                <w:sz w:val="21"/>
                <w:szCs w:val="21"/>
              </w:rPr>
              <w:t>causa</w:t>
            </w:r>
            <w:r w:rsidR="00DF012C">
              <w:rPr>
                <w:color w:val="000000"/>
                <w:sz w:val="21"/>
                <w:szCs w:val="21"/>
              </w:rPr>
              <w:t>re</w:t>
            </w:r>
            <w:r w:rsidRPr="007059A5">
              <w:rPr>
                <w:color w:val="000000"/>
                <w:sz w:val="21"/>
                <w:szCs w:val="21"/>
              </w:rPr>
              <w:t xml:space="preserve"> un aumento </w:t>
            </w:r>
            <w:r w:rsidR="008F1C47">
              <w:rPr>
                <w:color w:val="000000"/>
                <w:sz w:val="21"/>
                <w:szCs w:val="21"/>
              </w:rPr>
              <w:t xml:space="preserve">del </w:t>
            </w:r>
            <w:r w:rsidR="008F1C47" w:rsidRPr="007059A5">
              <w:rPr>
                <w:color w:val="000000"/>
                <w:sz w:val="21"/>
                <w:szCs w:val="21"/>
              </w:rPr>
              <w:t>fattore di crescita endoteliale VEG</w:t>
            </w:r>
            <w:r w:rsidR="00BE2AEC">
              <w:rPr>
                <w:color w:val="000000"/>
                <w:sz w:val="21"/>
                <w:szCs w:val="21"/>
              </w:rPr>
              <w:t>F</w:t>
            </w:r>
            <w:r w:rsidR="00DF012C">
              <w:rPr>
                <w:color w:val="000000"/>
                <w:sz w:val="21"/>
                <w:szCs w:val="21"/>
              </w:rPr>
              <w:t>.</w:t>
            </w:r>
            <w:r w:rsidR="00043D8A">
              <w:rPr>
                <w:color w:val="000000"/>
                <w:sz w:val="21"/>
                <w:szCs w:val="21"/>
              </w:rPr>
              <w:t xml:space="preserve"> </w:t>
            </w:r>
            <w:r w:rsidR="00AC740E">
              <w:rPr>
                <w:color w:val="000000"/>
                <w:sz w:val="21"/>
                <w:szCs w:val="21"/>
              </w:rPr>
              <w:t xml:space="preserve">Lo studio di questi meccanismi potrebbe </w:t>
            </w:r>
            <w:r w:rsidR="007C758C">
              <w:rPr>
                <w:color w:val="000000"/>
                <w:sz w:val="21"/>
                <w:szCs w:val="21"/>
              </w:rPr>
              <w:t xml:space="preserve">quindi </w:t>
            </w:r>
            <w:r w:rsidR="00AC740E">
              <w:rPr>
                <w:color w:val="000000"/>
                <w:sz w:val="21"/>
                <w:szCs w:val="21"/>
              </w:rPr>
              <w:t xml:space="preserve">rivelare nuovi target </w:t>
            </w:r>
            <w:r w:rsidR="00AC740E" w:rsidRPr="00B54BB5">
              <w:rPr>
                <w:color w:val="000000"/>
                <w:sz w:val="21"/>
                <w:szCs w:val="21"/>
              </w:rPr>
              <w:t>supportando l'uso di terapie combinate</w:t>
            </w:r>
            <w:r w:rsidR="00AC740E">
              <w:rPr>
                <w:color w:val="000000"/>
                <w:sz w:val="21"/>
                <w:szCs w:val="21"/>
              </w:rPr>
              <w:t xml:space="preserve">, che potrebbero risultare più efficaci nel trattamento di </w:t>
            </w:r>
            <w:r w:rsidR="00CA6421">
              <w:rPr>
                <w:color w:val="000000"/>
                <w:sz w:val="21"/>
                <w:szCs w:val="21"/>
              </w:rPr>
              <w:t>modelli di cancro ovarico</w:t>
            </w:r>
            <w:r w:rsidR="00AC740E">
              <w:rPr>
                <w:color w:val="000000"/>
                <w:sz w:val="21"/>
                <w:szCs w:val="21"/>
              </w:rPr>
              <w:t>, mirando alla loro plasticità metabolica.</w:t>
            </w:r>
          </w:p>
          <w:p w14:paraId="0F42328F" w14:textId="77777777" w:rsidR="007059A5" w:rsidRPr="00AB30A3" w:rsidRDefault="007059A5" w:rsidP="00705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4D2C5768" w14:textId="77777777" w:rsidR="008F7FAD" w:rsidRPr="00DB1934" w:rsidRDefault="008F7FAD" w:rsidP="00945AFC">
            <w:pPr>
              <w:pStyle w:val="NormaleWeb"/>
              <w:spacing w:before="0" w:beforeAutospacing="0" w:after="120" w:afterAutospacing="0"/>
              <w:jc w:val="both"/>
              <w:rPr>
                <w:b/>
                <w:sz w:val="21"/>
                <w:szCs w:val="21"/>
              </w:rPr>
            </w:pPr>
            <w:r w:rsidRPr="00DB1934">
              <w:rPr>
                <w:b/>
                <w:sz w:val="21"/>
                <w:szCs w:val="21"/>
              </w:rPr>
              <w:t>Obiettivi</w:t>
            </w:r>
          </w:p>
          <w:p w14:paraId="649A19F6" w14:textId="3C50C3D1" w:rsidR="00B6422C" w:rsidRPr="00B6422C" w:rsidRDefault="007059A5" w:rsidP="00945AFC">
            <w:pPr>
              <w:pStyle w:val="NormaleWeb"/>
              <w:spacing w:before="0" w:beforeAutospacing="0" w:after="120" w:afterAutospacing="0"/>
              <w:jc w:val="both"/>
              <w:rPr>
                <w:bCs/>
                <w:sz w:val="21"/>
                <w:szCs w:val="21"/>
              </w:rPr>
            </w:pPr>
            <w:r w:rsidRPr="007059A5">
              <w:rPr>
                <w:bCs/>
                <w:sz w:val="21"/>
                <w:szCs w:val="21"/>
              </w:rPr>
              <w:t xml:space="preserve">Questo studio consentirà di valutare il contributo della popolazione di macrofagi M2 durante l’angiogenesi </w:t>
            </w:r>
            <w:r w:rsidR="00DA3AE0">
              <w:rPr>
                <w:bCs/>
                <w:sz w:val="21"/>
                <w:szCs w:val="21"/>
              </w:rPr>
              <w:t>in</w:t>
            </w:r>
            <w:r w:rsidRPr="007059A5">
              <w:rPr>
                <w:bCs/>
                <w:sz w:val="21"/>
                <w:szCs w:val="21"/>
              </w:rPr>
              <w:t xml:space="preserve"> modelli di cancro ovarico CI-nulli e di investigare se questo avviene attraverso l’aumento della secrezione di lattato e/o la riduzione dell’espressione di HIF1</w:t>
            </w:r>
            <w:r w:rsidR="00083A02">
              <w:rPr>
                <w:bCs/>
                <w:sz w:val="21"/>
                <w:szCs w:val="21"/>
              </w:rPr>
              <w:t xml:space="preserve"> insieme</w:t>
            </w:r>
            <w:r w:rsidR="00CB3175">
              <w:rPr>
                <w:bCs/>
                <w:sz w:val="21"/>
                <w:szCs w:val="21"/>
              </w:rPr>
              <w:t xml:space="preserve"> </w:t>
            </w:r>
            <w:r w:rsidR="00083A02">
              <w:rPr>
                <w:bCs/>
                <w:sz w:val="21"/>
                <w:szCs w:val="21"/>
              </w:rPr>
              <w:t>a</w:t>
            </w:r>
            <w:r w:rsidR="00CB3175" w:rsidRPr="007059A5">
              <w:rPr>
                <w:color w:val="000000"/>
                <w:sz w:val="21"/>
                <w:szCs w:val="21"/>
              </w:rPr>
              <w:t>l fattore inibitorio migratorio dei macrofagi (MIF)</w:t>
            </w:r>
            <w:r w:rsidRPr="007059A5">
              <w:rPr>
                <w:bCs/>
                <w:sz w:val="21"/>
                <w:szCs w:val="21"/>
              </w:rPr>
              <w:t>. Inoltre, ERR</w:t>
            </w:r>
            <w:r w:rsidRPr="007059A5">
              <w:rPr>
                <w:bCs/>
                <w:sz w:val="21"/>
                <w:szCs w:val="21"/>
                <w:lang w:val="en-US"/>
              </w:rPr>
              <w:sym w:font="Symbol" w:char="F061"/>
            </w:r>
            <w:r w:rsidRPr="007059A5">
              <w:rPr>
                <w:bCs/>
                <w:sz w:val="21"/>
                <w:szCs w:val="21"/>
              </w:rPr>
              <w:t xml:space="preserve"> </w:t>
            </w:r>
            <w:r w:rsidR="00BA00DD">
              <w:rPr>
                <w:bCs/>
                <w:sz w:val="21"/>
                <w:szCs w:val="21"/>
              </w:rPr>
              <w:t xml:space="preserve">potrebbe promuovere, insieme a </w:t>
            </w:r>
            <w:r w:rsidR="00BA00DD" w:rsidRPr="007059A5">
              <w:rPr>
                <w:color w:val="000000"/>
                <w:sz w:val="21"/>
                <w:szCs w:val="21"/>
              </w:rPr>
              <w:t>PGC1</w:t>
            </w:r>
            <w:r w:rsidR="00BA00DD" w:rsidRPr="007059A5">
              <w:rPr>
                <w:color w:val="000000"/>
                <w:sz w:val="21"/>
                <w:szCs w:val="21"/>
                <w:lang w:val="en-US"/>
              </w:rPr>
              <w:sym w:font="Symbol" w:char="F061"/>
            </w:r>
            <w:r w:rsidR="00BA00DD" w:rsidRPr="00BA00DD">
              <w:rPr>
                <w:color w:val="000000"/>
                <w:sz w:val="21"/>
                <w:szCs w:val="21"/>
              </w:rPr>
              <w:t xml:space="preserve">, </w:t>
            </w:r>
            <w:r w:rsidR="00BA00DD">
              <w:rPr>
                <w:bCs/>
                <w:sz w:val="21"/>
                <w:szCs w:val="21"/>
              </w:rPr>
              <w:t>l’incremento</w:t>
            </w:r>
            <w:r w:rsidRPr="007059A5">
              <w:rPr>
                <w:bCs/>
                <w:sz w:val="21"/>
                <w:szCs w:val="21"/>
              </w:rPr>
              <w:t xml:space="preserve"> dei livelli di VEGF, in </w:t>
            </w:r>
            <w:r w:rsidR="00BA00DD">
              <w:rPr>
                <w:bCs/>
                <w:sz w:val="21"/>
                <w:szCs w:val="21"/>
              </w:rPr>
              <w:t xml:space="preserve">modelli in </w:t>
            </w:r>
            <w:r w:rsidRPr="007059A5">
              <w:rPr>
                <w:bCs/>
                <w:sz w:val="21"/>
                <w:szCs w:val="21"/>
              </w:rPr>
              <w:t xml:space="preserve">cui il CI </w:t>
            </w:r>
            <w:r w:rsidRPr="007059A5">
              <w:rPr>
                <w:bCs/>
                <w:sz w:val="21"/>
                <w:szCs w:val="21"/>
              </w:rPr>
              <w:lastRenderedPageBreak/>
              <w:t>è inibito. Pertanto, verrà valutato se tal</w:t>
            </w:r>
            <w:r w:rsidR="00DB311B">
              <w:rPr>
                <w:bCs/>
                <w:sz w:val="21"/>
                <w:szCs w:val="21"/>
              </w:rPr>
              <w:t>i</w:t>
            </w:r>
            <w:r w:rsidRPr="007059A5">
              <w:rPr>
                <w:bCs/>
                <w:sz w:val="21"/>
                <w:szCs w:val="21"/>
              </w:rPr>
              <w:t xml:space="preserve"> meccanism</w:t>
            </w:r>
            <w:r w:rsidR="00DB311B">
              <w:rPr>
                <w:bCs/>
                <w:sz w:val="21"/>
                <w:szCs w:val="21"/>
              </w:rPr>
              <w:t>i</w:t>
            </w:r>
            <w:r w:rsidRPr="007059A5">
              <w:rPr>
                <w:bCs/>
                <w:sz w:val="21"/>
                <w:szCs w:val="21"/>
              </w:rPr>
              <w:t xml:space="preserve"> possa</w:t>
            </w:r>
            <w:r w:rsidR="00DB311B">
              <w:rPr>
                <w:bCs/>
                <w:sz w:val="21"/>
                <w:szCs w:val="21"/>
              </w:rPr>
              <w:t>no</w:t>
            </w:r>
            <w:r w:rsidRPr="007059A5">
              <w:rPr>
                <w:bCs/>
                <w:sz w:val="21"/>
                <w:szCs w:val="21"/>
              </w:rPr>
              <w:t xml:space="preserve"> essere responsabil</w:t>
            </w:r>
            <w:r w:rsidR="00DB311B">
              <w:rPr>
                <w:bCs/>
                <w:sz w:val="21"/>
                <w:szCs w:val="21"/>
              </w:rPr>
              <w:t>i</w:t>
            </w:r>
            <w:r w:rsidRPr="007059A5">
              <w:rPr>
                <w:bCs/>
                <w:sz w:val="21"/>
                <w:szCs w:val="21"/>
              </w:rPr>
              <w:t xml:space="preserve"> dell’adattamento tumorale e dell’aumento della vascolarizzazione tipico dei modelli CI-nulli </w:t>
            </w:r>
            <w:r w:rsidRPr="007059A5">
              <w:rPr>
                <w:bCs/>
                <w:i/>
                <w:iCs/>
                <w:sz w:val="21"/>
                <w:szCs w:val="21"/>
              </w:rPr>
              <w:t>in vivo</w:t>
            </w:r>
            <w:r w:rsidRPr="007059A5">
              <w:rPr>
                <w:bCs/>
                <w:sz w:val="21"/>
                <w:szCs w:val="21"/>
              </w:rPr>
              <w:t>.</w:t>
            </w:r>
          </w:p>
          <w:p w14:paraId="7F628D4F" w14:textId="77777777" w:rsidR="008F7FAD" w:rsidRPr="00DB1934" w:rsidRDefault="008F7FAD" w:rsidP="00945AFC">
            <w:pPr>
              <w:pStyle w:val="NormaleWeb"/>
              <w:spacing w:before="0" w:beforeAutospacing="0" w:after="120" w:afterAutospacing="0"/>
              <w:jc w:val="both"/>
              <w:rPr>
                <w:b/>
                <w:sz w:val="21"/>
                <w:szCs w:val="21"/>
              </w:rPr>
            </w:pPr>
            <w:r w:rsidRPr="00DB1934">
              <w:rPr>
                <w:b/>
                <w:sz w:val="21"/>
                <w:szCs w:val="21"/>
              </w:rPr>
              <w:t>Metodologia (</w:t>
            </w:r>
            <w:r w:rsidRPr="00DB1934">
              <w:rPr>
                <w:b/>
                <w:i/>
                <w:sz w:val="21"/>
                <w:szCs w:val="21"/>
              </w:rPr>
              <w:t>descrizione del campione, principali tecniche utilizzate, aspetti biostatistici</w:t>
            </w:r>
            <w:r>
              <w:rPr>
                <w:b/>
                <w:i/>
                <w:sz w:val="21"/>
                <w:szCs w:val="21"/>
              </w:rPr>
              <w:t>, fattibilità</w:t>
            </w:r>
            <w:r w:rsidRPr="00DB1934">
              <w:rPr>
                <w:b/>
                <w:i/>
                <w:sz w:val="21"/>
                <w:szCs w:val="21"/>
              </w:rPr>
              <w:t>…</w:t>
            </w:r>
            <w:r w:rsidRPr="00DB1934">
              <w:rPr>
                <w:b/>
                <w:sz w:val="21"/>
                <w:szCs w:val="21"/>
              </w:rPr>
              <w:t>)</w:t>
            </w:r>
          </w:p>
          <w:p w14:paraId="35B7F8A7" w14:textId="52698584" w:rsidR="008F7FAD" w:rsidRPr="00DC24FB" w:rsidRDefault="00B6422C" w:rsidP="00945AFC">
            <w:pPr>
              <w:pStyle w:val="NormaleWeb"/>
              <w:spacing w:before="0" w:beforeAutospacing="0" w:after="120" w:afterAutospacing="0"/>
              <w:jc w:val="both"/>
              <w:rPr>
                <w:bCs/>
                <w:sz w:val="21"/>
                <w:szCs w:val="21"/>
              </w:rPr>
            </w:pPr>
            <w:r w:rsidRPr="00B6422C">
              <w:rPr>
                <w:bCs/>
                <w:sz w:val="21"/>
                <w:szCs w:val="21"/>
              </w:rPr>
              <w:t xml:space="preserve">Le linee ovariche CI-nulle SKOV-3, CAOV3, OVSAHO e OVCAR4 verranno inoculate per mezzo di iniezione intraperitoneale in topi nudi, mentre la linea murina ID8 in topi BALB/c. La crescita tumorale sarà valutata settimanalmente con l’utilizzo dello strumento </w:t>
            </w:r>
            <w:proofErr w:type="spellStart"/>
            <w:r w:rsidRPr="00B6422C">
              <w:rPr>
                <w:bCs/>
                <w:sz w:val="21"/>
                <w:szCs w:val="21"/>
              </w:rPr>
              <w:t>UltraSound</w:t>
            </w:r>
            <w:proofErr w:type="spellEnd"/>
            <w:r w:rsidRPr="00B6422C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B6422C">
              <w:rPr>
                <w:bCs/>
                <w:sz w:val="21"/>
                <w:szCs w:val="21"/>
              </w:rPr>
              <w:t>unit</w:t>
            </w:r>
            <w:proofErr w:type="spellEnd"/>
            <w:r w:rsidRPr="00B6422C">
              <w:rPr>
                <w:bCs/>
                <w:sz w:val="21"/>
                <w:szCs w:val="21"/>
              </w:rPr>
              <w:t xml:space="preserve"> (MyLab70 XVG), finché il tumore non avrà raggiunto la dimensione di 1,5 cm</w:t>
            </w:r>
            <w:r w:rsidRPr="00B6422C">
              <w:rPr>
                <w:bCs/>
                <w:sz w:val="21"/>
                <w:szCs w:val="21"/>
                <w:vertAlign w:val="superscript"/>
              </w:rPr>
              <w:t>3</w:t>
            </w:r>
            <w:r w:rsidRPr="00B6422C">
              <w:rPr>
                <w:bCs/>
                <w:sz w:val="21"/>
                <w:szCs w:val="21"/>
              </w:rPr>
              <w:t xml:space="preserve">. Eventuali differenze nella sopravvivenza degli animali saranno messe in evidenza attraverso le curve di Kaplan-Meier. </w:t>
            </w:r>
            <w:r w:rsidR="00BC5695">
              <w:rPr>
                <w:bCs/>
                <w:sz w:val="21"/>
                <w:szCs w:val="21"/>
              </w:rPr>
              <w:t>Quest</w:t>
            </w:r>
            <w:r w:rsidR="006C706D">
              <w:rPr>
                <w:bCs/>
                <w:sz w:val="21"/>
                <w:szCs w:val="21"/>
              </w:rPr>
              <w:t xml:space="preserve">o esperimento </w:t>
            </w:r>
            <w:r w:rsidRPr="00B6422C">
              <w:rPr>
                <w:bCs/>
                <w:sz w:val="21"/>
                <w:szCs w:val="21"/>
              </w:rPr>
              <w:t>consentir</w:t>
            </w:r>
            <w:r w:rsidR="006C706D">
              <w:rPr>
                <w:bCs/>
                <w:sz w:val="21"/>
                <w:szCs w:val="21"/>
              </w:rPr>
              <w:t>à</w:t>
            </w:r>
            <w:r w:rsidRPr="00B6422C">
              <w:rPr>
                <w:bCs/>
                <w:sz w:val="21"/>
                <w:szCs w:val="21"/>
              </w:rPr>
              <w:t xml:space="preserve"> di ottenere masse di uguali dimensioni, essenziali al fine di valutare il contributo dello stroma nei tumori. Un secondo esperimento sarà eseguito con le stesse linee e ceppi di topo, terminando l’esperimento non appena i primi tre controlli raggiungeranno la dimensione di 1,5 cm</w:t>
            </w:r>
            <w:r w:rsidRPr="00B6422C">
              <w:rPr>
                <w:bCs/>
                <w:sz w:val="21"/>
                <w:szCs w:val="21"/>
                <w:vertAlign w:val="superscript"/>
              </w:rPr>
              <w:t>3</w:t>
            </w:r>
            <w:r w:rsidRPr="00B6422C">
              <w:rPr>
                <w:bCs/>
                <w:sz w:val="21"/>
                <w:szCs w:val="21"/>
              </w:rPr>
              <w:t xml:space="preserve">, </w:t>
            </w:r>
            <w:r w:rsidR="00BE6871">
              <w:rPr>
                <w:bCs/>
                <w:sz w:val="21"/>
                <w:szCs w:val="21"/>
              </w:rPr>
              <w:t>in modo da evidenziare differenze di crescita tra tumori CI-nulli e CI competenti</w:t>
            </w:r>
            <w:r w:rsidRPr="00B6422C">
              <w:rPr>
                <w:bCs/>
                <w:sz w:val="21"/>
                <w:szCs w:val="21"/>
              </w:rPr>
              <w:t>. Al termine degli esperimenti ogni tumore sarà espiantato e per valutare l’eventuale formazione di metastasi verranno prelevate anche le ovaie, la milza, il fegato e i polmoni.</w:t>
            </w:r>
            <w:r w:rsidR="006C706D" w:rsidRPr="00B6422C">
              <w:rPr>
                <w:bCs/>
                <w:sz w:val="21"/>
                <w:szCs w:val="21"/>
              </w:rPr>
              <w:t xml:space="preserve"> </w:t>
            </w:r>
            <w:r w:rsidRPr="00B6422C">
              <w:rPr>
                <w:bCs/>
                <w:sz w:val="21"/>
                <w:szCs w:val="21"/>
              </w:rPr>
              <w:t>I tumori saranno raccolti e processati per analisi di immunoistochimica e immunofluorescenza; saranno congelati per l’estrazione di RNA, proteine e</w:t>
            </w:r>
            <w:r w:rsidR="007066E5">
              <w:rPr>
                <w:bCs/>
                <w:sz w:val="21"/>
                <w:szCs w:val="21"/>
              </w:rPr>
              <w:t xml:space="preserve"> </w:t>
            </w:r>
            <w:r w:rsidRPr="00B6422C">
              <w:rPr>
                <w:bCs/>
                <w:sz w:val="21"/>
                <w:szCs w:val="21"/>
              </w:rPr>
              <w:t xml:space="preserve">metaboliti; una parte sarà impiegata per la generazione di colture </w:t>
            </w:r>
            <w:r w:rsidRPr="00B6422C">
              <w:rPr>
                <w:bCs/>
                <w:i/>
                <w:iCs/>
                <w:sz w:val="21"/>
                <w:szCs w:val="21"/>
              </w:rPr>
              <w:t>ex vivo</w:t>
            </w:r>
            <w:r w:rsidRPr="00B6422C">
              <w:rPr>
                <w:bCs/>
                <w:sz w:val="21"/>
                <w:szCs w:val="21"/>
              </w:rPr>
              <w:t>. Le IHC saranno eseguite per NUDFS3, HIF1</w:t>
            </w:r>
            <w:r w:rsidRPr="00B6422C">
              <w:rPr>
                <w:bCs/>
                <w:sz w:val="21"/>
                <w:szCs w:val="21"/>
                <w:lang w:val="en-US"/>
              </w:rPr>
              <w:sym w:font="Symbol" w:char="F061"/>
            </w:r>
            <w:r w:rsidRPr="00B6422C">
              <w:rPr>
                <w:bCs/>
                <w:sz w:val="21"/>
                <w:szCs w:val="21"/>
              </w:rPr>
              <w:t xml:space="preserve">, MIF, il marcatore dei macrofagi F4/80, il marcatore dei </w:t>
            </w:r>
            <w:proofErr w:type="spellStart"/>
            <w:r w:rsidRPr="00B6422C">
              <w:rPr>
                <w:bCs/>
                <w:sz w:val="21"/>
                <w:szCs w:val="21"/>
              </w:rPr>
              <w:t>periciti</w:t>
            </w:r>
            <w:proofErr w:type="spellEnd"/>
            <w:r w:rsidRPr="00B6422C">
              <w:rPr>
                <w:bCs/>
                <w:sz w:val="21"/>
                <w:szCs w:val="21"/>
              </w:rPr>
              <w:t xml:space="preserve"> SMA, il marcatore delle cellule endoteliali CD31, i trasportatori di lattato MCT1 e MCT4, i marcatori di acidosi LAMP2 e CAIX, ERR</w:t>
            </w:r>
            <w:r w:rsidRPr="00B6422C">
              <w:rPr>
                <w:bCs/>
                <w:sz w:val="21"/>
                <w:szCs w:val="21"/>
                <w:lang w:val="en-US"/>
              </w:rPr>
              <w:sym w:font="Symbol" w:char="F061"/>
            </w:r>
            <w:r w:rsidRPr="00B6422C">
              <w:rPr>
                <w:bCs/>
                <w:sz w:val="21"/>
                <w:szCs w:val="21"/>
              </w:rPr>
              <w:t xml:space="preserve">, e VEGF. Successivamente, verrà analizzata la correlazione tra i livelli di VEGF, determinati attraverso l’analisi del </w:t>
            </w:r>
            <w:proofErr w:type="spellStart"/>
            <w:r w:rsidRPr="00B6422C">
              <w:rPr>
                <w:bCs/>
                <w:sz w:val="21"/>
                <w:szCs w:val="21"/>
              </w:rPr>
              <w:t>secretoma</w:t>
            </w:r>
            <w:proofErr w:type="spellEnd"/>
            <w:r w:rsidRPr="00B6422C">
              <w:rPr>
                <w:bCs/>
                <w:sz w:val="21"/>
                <w:szCs w:val="21"/>
              </w:rPr>
              <w:t xml:space="preserve"> nelle cellule delle colture </w:t>
            </w:r>
            <w:r w:rsidRPr="00B6422C">
              <w:rPr>
                <w:bCs/>
                <w:i/>
                <w:iCs/>
                <w:sz w:val="21"/>
                <w:szCs w:val="21"/>
              </w:rPr>
              <w:t>ex vivo</w:t>
            </w:r>
            <w:r w:rsidRPr="00B6422C">
              <w:rPr>
                <w:bCs/>
                <w:sz w:val="21"/>
                <w:szCs w:val="21"/>
              </w:rPr>
              <w:t>, insieme ai livelli di espressione di PGC1</w:t>
            </w:r>
            <w:r w:rsidRPr="00B6422C">
              <w:rPr>
                <w:bCs/>
                <w:sz w:val="21"/>
                <w:szCs w:val="21"/>
              </w:rPr>
              <w:sym w:font="Symbol" w:char="F061"/>
            </w:r>
            <w:r w:rsidRPr="00B6422C">
              <w:rPr>
                <w:bCs/>
                <w:sz w:val="21"/>
                <w:szCs w:val="21"/>
              </w:rPr>
              <w:t xml:space="preserve"> (in </w:t>
            </w:r>
            <w:proofErr w:type="spellStart"/>
            <w:r w:rsidRPr="00B6422C">
              <w:rPr>
                <w:bCs/>
                <w:sz w:val="21"/>
                <w:szCs w:val="21"/>
              </w:rPr>
              <w:t>qRT</w:t>
            </w:r>
            <w:proofErr w:type="spellEnd"/>
            <w:r w:rsidRPr="00B6422C">
              <w:rPr>
                <w:bCs/>
                <w:sz w:val="21"/>
                <w:szCs w:val="21"/>
              </w:rPr>
              <w:t>-PCR) e di ERR</w:t>
            </w:r>
            <w:r w:rsidRPr="00B6422C">
              <w:rPr>
                <w:bCs/>
                <w:sz w:val="21"/>
                <w:szCs w:val="21"/>
              </w:rPr>
              <w:sym w:font="Symbol" w:char="F061"/>
            </w:r>
            <w:r w:rsidRPr="00B6422C">
              <w:rPr>
                <w:bCs/>
                <w:sz w:val="21"/>
                <w:szCs w:val="21"/>
              </w:rPr>
              <w:t xml:space="preserve"> (in Western </w:t>
            </w:r>
            <w:proofErr w:type="spellStart"/>
            <w:r w:rsidRPr="00B6422C">
              <w:rPr>
                <w:bCs/>
                <w:sz w:val="21"/>
                <w:szCs w:val="21"/>
              </w:rPr>
              <w:t>Blot</w:t>
            </w:r>
            <w:proofErr w:type="spellEnd"/>
            <w:r w:rsidRPr="00B6422C">
              <w:rPr>
                <w:bCs/>
                <w:sz w:val="21"/>
                <w:szCs w:val="21"/>
              </w:rPr>
              <w:t>), in condizioni ipossiche. La co-immunoprecipitazione di PGC1</w:t>
            </w:r>
            <w:r w:rsidRPr="00B6422C">
              <w:rPr>
                <w:bCs/>
                <w:sz w:val="21"/>
                <w:szCs w:val="21"/>
              </w:rPr>
              <w:sym w:font="Symbol" w:char="F061"/>
            </w:r>
            <w:r w:rsidRPr="00B6422C">
              <w:rPr>
                <w:bCs/>
                <w:sz w:val="21"/>
                <w:szCs w:val="21"/>
              </w:rPr>
              <w:t xml:space="preserve"> e di ERR</w:t>
            </w:r>
            <w:r w:rsidRPr="00B6422C">
              <w:rPr>
                <w:bCs/>
                <w:sz w:val="21"/>
                <w:szCs w:val="21"/>
              </w:rPr>
              <w:sym w:font="Symbol" w:char="F061"/>
            </w:r>
            <w:r w:rsidRPr="00B6422C">
              <w:rPr>
                <w:bCs/>
                <w:sz w:val="21"/>
                <w:szCs w:val="21"/>
              </w:rPr>
              <w:t xml:space="preserve">, inoltre, aiuterà a comprendere se tale complesso si formi preferenzialmente nei modelli CI-nulli. Successivamente, le linee ovariche CI-nulle </w:t>
            </w:r>
            <w:r w:rsidRPr="00B6422C">
              <w:rPr>
                <w:bCs/>
                <w:i/>
                <w:iCs/>
                <w:sz w:val="21"/>
                <w:szCs w:val="21"/>
              </w:rPr>
              <w:t>ex vivo</w:t>
            </w:r>
            <w:r w:rsidRPr="00B6422C">
              <w:rPr>
                <w:bCs/>
                <w:sz w:val="21"/>
                <w:szCs w:val="21"/>
              </w:rPr>
              <w:t xml:space="preserve"> verranno trattate in ipossia con un inibitore specifico per il recettore ERR</w:t>
            </w:r>
            <w:r w:rsidRPr="00B6422C">
              <w:rPr>
                <w:bCs/>
                <w:sz w:val="21"/>
                <w:szCs w:val="21"/>
              </w:rPr>
              <w:sym w:font="Symbol" w:char="F061"/>
            </w:r>
            <w:r w:rsidRPr="00B6422C">
              <w:rPr>
                <w:bCs/>
                <w:sz w:val="21"/>
                <w:szCs w:val="21"/>
              </w:rPr>
              <w:t xml:space="preserve"> (XCT790) così da valutare l’espressione di VEGF attraverso </w:t>
            </w:r>
            <w:proofErr w:type="spellStart"/>
            <w:r w:rsidRPr="00B6422C">
              <w:rPr>
                <w:bCs/>
                <w:sz w:val="21"/>
                <w:szCs w:val="21"/>
              </w:rPr>
              <w:t>qRT</w:t>
            </w:r>
            <w:proofErr w:type="spellEnd"/>
            <w:r w:rsidRPr="00B6422C">
              <w:rPr>
                <w:bCs/>
                <w:sz w:val="21"/>
                <w:szCs w:val="21"/>
              </w:rPr>
              <w:t xml:space="preserve">-PCR. In seguito, le linee CI-nulle </w:t>
            </w:r>
            <w:r w:rsidRPr="00B6422C">
              <w:rPr>
                <w:bCs/>
                <w:i/>
                <w:iCs/>
                <w:sz w:val="21"/>
                <w:szCs w:val="21"/>
              </w:rPr>
              <w:t>ex vivo</w:t>
            </w:r>
            <w:r w:rsidRPr="00B6422C">
              <w:rPr>
                <w:bCs/>
                <w:sz w:val="21"/>
                <w:szCs w:val="21"/>
              </w:rPr>
              <w:t xml:space="preserve"> verranno messe in co-coltura con la linea endoteliale HUVEC in piastre contenenti </w:t>
            </w:r>
            <w:proofErr w:type="spellStart"/>
            <w:r w:rsidRPr="00B6422C">
              <w:rPr>
                <w:bCs/>
                <w:sz w:val="21"/>
                <w:szCs w:val="21"/>
              </w:rPr>
              <w:t>Matrigel</w:t>
            </w:r>
            <w:proofErr w:type="spellEnd"/>
            <w:r w:rsidRPr="00B6422C">
              <w:rPr>
                <w:bCs/>
                <w:sz w:val="21"/>
                <w:szCs w:val="21"/>
              </w:rPr>
              <w:t xml:space="preserve">, in modo da valutare la capacità delle cellule HUVEC di formare strutture </w:t>
            </w:r>
            <w:r w:rsidR="002D2D76">
              <w:rPr>
                <w:bCs/>
                <w:sz w:val="21"/>
                <w:szCs w:val="21"/>
              </w:rPr>
              <w:t xml:space="preserve">tridimensionali </w:t>
            </w:r>
            <w:r w:rsidRPr="00B6422C">
              <w:rPr>
                <w:bCs/>
                <w:sz w:val="21"/>
                <w:szCs w:val="21"/>
              </w:rPr>
              <w:t xml:space="preserve">simili a vasi sanguigni. </w:t>
            </w:r>
            <w:r w:rsidR="002D2D76">
              <w:rPr>
                <w:bCs/>
                <w:sz w:val="21"/>
                <w:szCs w:val="21"/>
              </w:rPr>
              <w:t>Gli</w:t>
            </w:r>
            <w:r w:rsidR="002D2D76" w:rsidRPr="00B6422C">
              <w:rPr>
                <w:bCs/>
                <w:sz w:val="21"/>
                <w:szCs w:val="21"/>
              </w:rPr>
              <w:t xml:space="preserve"> esperimenti</w:t>
            </w:r>
            <w:r w:rsidR="002D2D76">
              <w:rPr>
                <w:bCs/>
                <w:sz w:val="21"/>
                <w:szCs w:val="21"/>
              </w:rPr>
              <w:t xml:space="preserve"> animali e le analisi immunoistochimiche saranno svolte presso lo stabulario del Centro di Ricerca Biomedica Applicata (CRBA). Le analisi </w:t>
            </w:r>
            <w:r w:rsidR="002D2D76" w:rsidRPr="001C1C5F">
              <w:rPr>
                <w:bCs/>
                <w:i/>
                <w:iCs/>
                <w:sz w:val="21"/>
                <w:szCs w:val="21"/>
              </w:rPr>
              <w:t>in vit</w:t>
            </w:r>
            <w:r w:rsidR="00D44207" w:rsidRPr="001C1C5F">
              <w:rPr>
                <w:bCs/>
                <w:i/>
                <w:iCs/>
                <w:sz w:val="21"/>
                <w:szCs w:val="21"/>
              </w:rPr>
              <w:t>r</w:t>
            </w:r>
            <w:r w:rsidR="002D2D76" w:rsidRPr="001C1C5F">
              <w:rPr>
                <w:bCs/>
                <w:i/>
                <w:iCs/>
                <w:sz w:val="21"/>
                <w:szCs w:val="21"/>
              </w:rPr>
              <w:t>o</w:t>
            </w:r>
            <w:r w:rsidR="002D2D76">
              <w:rPr>
                <w:bCs/>
                <w:sz w:val="21"/>
                <w:szCs w:val="21"/>
              </w:rPr>
              <w:t xml:space="preserve"> verranno eseguite presso la U.O. Genetica Medica.</w:t>
            </w:r>
          </w:p>
          <w:p w14:paraId="0C0B4119" w14:textId="77777777" w:rsidR="008F7FAD" w:rsidRDefault="008F7FAD" w:rsidP="00945AFC">
            <w:pPr>
              <w:pStyle w:val="NormaleWeb"/>
              <w:spacing w:before="0" w:beforeAutospacing="0" w:after="120" w:afterAutospacing="0"/>
              <w:jc w:val="both"/>
              <w:rPr>
                <w:b/>
                <w:sz w:val="21"/>
                <w:szCs w:val="21"/>
              </w:rPr>
            </w:pPr>
            <w:r w:rsidRPr="00DB1934">
              <w:rPr>
                <w:b/>
                <w:sz w:val="21"/>
                <w:szCs w:val="21"/>
              </w:rPr>
              <w:t>Risultati attesi</w:t>
            </w:r>
          </w:p>
          <w:p w14:paraId="6DCAE71F" w14:textId="60240DE3" w:rsidR="00820024" w:rsidRPr="00820024" w:rsidRDefault="00820024" w:rsidP="00945AFC">
            <w:pPr>
              <w:pStyle w:val="NormaleWeb"/>
              <w:spacing w:before="0" w:beforeAutospacing="0" w:after="120" w:afterAutospacing="0"/>
              <w:jc w:val="both"/>
              <w:rPr>
                <w:bCs/>
                <w:sz w:val="21"/>
                <w:szCs w:val="21"/>
              </w:rPr>
            </w:pPr>
            <w:r w:rsidRPr="00820024">
              <w:rPr>
                <w:bCs/>
                <w:sz w:val="21"/>
                <w:szCs w:val="21"/>
              </w:rPr>
              <w:t xml:space="preserve">Questo lavoro consentirà di </w:t>
            </w:r>
            <w:r w:rsidR="000E78BC">
              <w:rPr>
                <w:bCs/>
                <w:sz w:val="21"/>
                <w:szCs w:val="21"/>
              </w:rPr>
              <w:t xml:space="preserve">confermare </w:t>
            </w:r>
            <w:r w:rsidR="00B472C5">
              <w:rPr>
                <w:bCs/>
                <w:sz w:val="21"/>
                <w:szCs w:val="21"/>
              </w:rPr>
              <w:t xml:space="preserve">su modelli di cancro ovarico </w:t>
            </w:r>
            <w:r w:rsidR="000E78BC">
              <w:rPr>
                <w:bCs/>
                <w:sz w:val="21"/>
                <w:szCs w:val="21"/>
              </w:rPr>
              <w:t>i risultati ottenuti in precedenza su modelli CI-nulli</w:t>
            </w:r>
            <w:r w:rsidR="00CD6B56">
              <w:rPr>
                <w:bCs/>
                <w:sz w:val="21"/>
                <w:szCs w:val="21"/>
              </w:rPr>
              <w:t xml:space="preserve"> </w:t>
            </w:r>
            <w:r w:rsidR="00E3698F" w:rsidRPr="00E3698F">
              <w:rPr>
                <w:bCs/>
                <w:i/>
                <w:iCs/>
                <w:sz w:val="21"/>
                <w:szCs w:val="21"/>
              </w:rPr>
              <w:t>in vivo</w:t>
            </w:r>
            <w:r w:rsidR="00B472C5" w:rsidRPr="00B472C5">
              <w:rPr>
                <w:bCs/>
                <w:sz w:val="21"/>
                <w:szCs w:val="21"/>
              </w:rPr>
              <w:t>,</w:t>
            </w:r>
            <w:r w:rsidR="00E3698F" w:rsidRPr="00B472C5">
              <w:rPr>
                <w:bCs/>
                <w:sz w:val="21"/>
                <w:szCs w:val="21"/>
              </w:rPr>
              <w:t xml:space="preserve"> </w:t>
            </w:r>
            <w:r w:rsidR="000E78BC">
              <w:rPr>
                <w:bCs/>
                <w:sz w:val="21"/>
                <w:szCs w:val="21"/>
              </w:rPr>
              <w:t xml:space="preserve">e di </w:t>
            </w:r>
            <w:r w:rsidR="00CD6B56">
              <w:rPr>
                <w:bCs/>
                <w:sz w:val="21"/>
                <w:szCs w:val="21"/>
              </w:rPr>
              <w:t>i</w:t>
            </w:r>
            <w:r w:rsidRPr="00820024">
              <w:rPr>
                <w:bCs/>
                <w:sz w:val="21"/>
                <w:szCs w:val="21"/>
              </w:rPr>
              <w:t>dentificare nuovi target delle vie adattive di angiogenesi attraverso lo studio dell’interazione PGC1</w:t>
            </w:r>
            <w:r w:rsidRPr="00820024">
              <w:rPr>
                <w:bCs/>
                <w:sz w:val="21"/>
                <w:szCs w:val="21"/>
              </w:rPr>
              <w:sym w:font="Symbol" w:char="F061"/>
            </w:r>
            <w:r w:rsidRPr="00820024">
              <w:rPr>
                <w:bCs/>
                <w:sz w:val="21"/>
                <w:szCs w:val="21"/>
              </w:rPr>
              <w:t>- ERR</w:t>
            </w:r>
            <w:r w:rsidRPr="00820024">
              <w:rPr>
                <w:bCs/>
                <w:sz w:val="21"/>
                <w:szCs w:val="21"/>
              </w:rPr>
              <w:sym w:font="Symbol" w:char="F061"/>
            </w:r>
            <w:r w:rsidRPr="00820024">
              <w:rPr>
                <w:bCs/>
                <w:sz w:val="21"/>
                <w:szCs w:val="21"/>
              </w:rPr>
              <w:t>.</w:t>
            </w:r>
          </w:p>
        </w:tc>
      </w:tr>
      <w:tr w:rsidR="008F7FAD" w:rsidRPr="002E1FF5" w14:paraId="048F57B8" w14:textId="77777777" w:rsidTr="00945AFC">
        <w:tc>
          <w:tcPr>
            <w:tcW w:w="8330" w:type="dxa"/>
            <w:gridSpan w:val="5"/>
            <w:shd w:val="clear" w:color="auto" w:fill="auto"/>
            <w:vAlign w:val="center"/>
          </w:tcPr>
          <w:p w14:paraId="66D7AE75" w14:textId="77777777" w:rsidR="008F7FAD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DESCRIZIONE</w:t>
            </w:r>
            <w:r w:rsidRPr="007A1E3A">
              <w:rPr>
                <w:b/>
                <w:sz w:val="28"/>
                <w:szCs w:val="28"/>
              </w:rPr>
              <w:t xml:space="preserve"> DELLE ATTIVITÀ DELL’ASSEGNISTA</w:t>
            </w:r>
            <w:r w:rsidRPr="00F70053">
              <w:rPr>
                <w:sz w:val="28"/>
                <w:szCs w:val="28"/>
              </w:rPr>
              <w:t xml:space="preserve"> </w:t>
            </w:r>
          </w:p>
          <w:p w14:paraId="7B4CB6D6" w14:textId="56552474" w:rsidR="008F7FAD" w:rsidRDefault="008F7FAD" w:rsidP="00945AFC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  <w:r w:rsidRPr="00F70053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per i </w:t>
            </w:r>
            <w:r w:rsidRPr="00DB1934">
              <w:rPr>
                <w:b/>
                <w:i/>
                <w:sz w:val="20"/>
                <w:szCs w:val="20"/>
                <w:u w:val="single"/>
              </w:rPr>
              <w:t>nuovi</w:t>
            </w:r>
            <w:r>
              <w:rPr>
                <w:i/>
                <w:sz w:val="20"/>
                <w:szCs w:val="20"/>
              </w:rPr>
              <w:t xml:space="preserve"> assegni: max 400</w:t>
            </w:r>
            <w:r w:rsidRPr="00F70053">
              <w:rPr>
                <w:i/>
                <w:sz w:val="20"/>
                <w:szCs w:val="20"/>
              </w:rPr>
              <w:t xml:space="preserve"> parole</w:t>
            </w:r>
            <w:r>
              <w:rPr>
                <w:i/>
                <w:sz w:val="20"/>
                <w:szCs w:val="20"/>
              </w:rPr>
              <w:t xml:space="preserve">; competenze richieste, </w:t>
            </w:r>
            <w:r w:rsidRPr="004B08A3">
              <w:rPr>
                <w:i/>
                <w:sz w:val="20"/>
                <w:szCs w:val="20"/>
              </w:rPr>
              <w:t>scans</w:t>
            </w:r>
            <w:r>
              <w:rPr>
                <w:i/>
                <w:sz w:val="20"/>
                <w:szCs w:val="20"/>
              </w:rPr>
              <w:t xml:space="preserve">ione temporale della formazione, </w:t>
            </w:r>
            <w:r w:rsidRPr="004B08A3">
              <w:rPr>
                <w:i/>
                <w:sz w:val="20"/>
                <w:szCs w:val="20"/>
              </w:rPr>
              <w:t>scansione temporale dell’attivi</w:t>
            </w:r>
            <w:r>
              <w:rPr>
                <w:i/>
                <w:sz w:val="20"/>
                <w:szCs w:val="20"/>
              </w:rPr>
              <w:t xml:space="preserve">tà, </w:t>
            </w:r>
            <w:r w:rsidRPr="004B08A3">
              <w:rPr>
                <w:i/>
                <w:sz w:val="20"/>
                <w:szCs w:val="20"/>
              </w:rPr>
              <w:t>obiettivi primari e secondari</w:t>
            </w:r>
            <w:r w:rsidRPr="00F70053">
              <w:rPr>
                <w:i/>
                <w:sz w:val="20"/>
                <w:szCs w:val="20"/>
              </w:rPr>
              <w:t>)</w:t>
            </w:r>
          </w:p>
          <w:p w14:paraId="29E0004C" w14:textId="1A804AC7" w:rsidR="007F0107" w:rsidRDefault="007F0107" w:rsidP="007F0107">
            <w:pPr>
              <w:spacing w:before="60" w:after="60"/>
              <w:jc w:val="both"/>
              <w:rPr>
                <w:iCs/>
                <w:sz w:val="20"/>
                <w:szCs w:val="20"/>
              </w:rPr>
            </w:pPr>
            <w:r w:rsidRPr="007F0107">
              <w:rPr>
                <w:iCs/>
                <w:sz w:val="20"/>
                <w:szCs w:val="20"/>
              </w:rPr>
              <w:t>Il presente progetto richiederà l’utilizzo di competenze in biologia molecolare e cellulare, per lo svolgimento delle principali attività previste</w:t>
            </w:r>
            <w:r>
              <w:rPr>
                <w:iCs/>
                <w:sz w:val="20"/>
                <w:szCs w:val="20"/>
              </w:rPr>
              <w:t>.</w:t>
            </w:r>
          </w:p>
          <w:p w14:paraId="2AAC624F" w14:textId="25611604" w:rsidR="007F0107" w:rsidRDefault="007F0107" w:rsidP="007F0107">
            <w:pPr>
              <w:spacing w:before="60" w:after="6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Obiettiv</w:t>
            </w:r>
            <w:r w:rsidR="00923AC3">
              <w:rPr>
                <w:iCs/>
                <w:sz w:val="20"/>
                <w:szCs w:val="20"/>
              </w:rPr>
              <w:t>i</w:t>
            </w:r>
            <w:r>
              <w:rPr>
                <w:iCs/>
                <w:sz w:val="20"/>
                <w:szCs w:val="20"/>
              </w:rPr>
              <w:t xml:space="preserve"> primari: </w:t>
            </w:r>
          </w:p>
          <w:p w14:paraId="30BE2AC8" w14:textId="182EFFEF" w:rsidR="00923AC3" w:rsidRDefault="00923AC3" w:rsidP="00923AC3">
            <w:pPr>
              <w:pStyle w:val="Paragrafoelenco"/>
              <w:numPr>
                <w:ilvl w:val="0"/>
                <w:numId w:val="15"/>
              </w:numPr>
              <w:spacing w:before="60" w:after="60"/>
              <w:jc w:val="both"/>
              <w:rPr>
                <w:iCs/>
                <w:sz w:val="20"/>
                <w:szCs w:val="20"/>
              </w:rPr>
            </w:pPr>
            <w:r w:rsidRPr="00923AC3">
              <w:rPr>
                <w:iCs/>
                <w:sz w:val="20"/>
                <w:szCs w:val="20"/>
              </w:rPr>
              <w:t xml:space="preserve">confermare </w:t>
            </w:r>
            <w:r>
              <w:rPr>
                <w:iCs/>
                <w:sz w:val="20"/>
                <w:szCs w:val="20"/>
              </w:rPr>
              <w:t xml:space="preserve">che </w:t>
            </w:r>
            <w:r w:rsidRPr="00923AC3">
              <w:rPr>
                <w:iCs/>
                <w:sz w:val="20"/>
                <w:szCs w:val="20"/>
              </w:rPr>
              <w:t xml:space="preserve">attraverso la generazione di modelli </w:t>
            </w:r>
            <w:proofErr w:type="spellStart"/>
            <w:r w:rsidRPr="00923AC3">
              <w:rPr>
                <w:iCs/>
                <w:sz w:val="20"/>
                <w:szCs w:val="20"/>
              </w:rPr>
              <w:t>xenograft</w:t>
            </w:r>
            <w:proofErr w:type="spellEnd"/>
            <w:r w:rsidRPr="00923AC3">
              <w:rPr>
                <w:iCs/>
                <w:sz w:val="20"/>
                <w:szCs w:val="20"/>
              </w:rPr>
              <w:t xml:space="preserve"> da linee di cancro ovarico CI-nulle</w:t>
            </w:r>
            <w:r>
              <w:rPr>
                <w:iCs/>
                <w:sz w:val="20"/>
                <w:szCs w:val="20"/>
              </w:rPr>
              <w:t>,</w:t>
            </w:r>
            <w:r w:rsidRPr="00923AC3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l’assenza del CI causa una riduzione della crescita tumorale.</w:t>
            </w:r>
          </w:p>
          <w:p w14:paraId="0869B308" w14:textId="0B60651A" w:rsidR="00D40068" w:rsidRDefault="00923AC3" w:rsidP="00923AC3">
            <w:pPr>
              <w:pStyle w:val="Paragrafoelenco"/>
              <w:numPr>
                <w:ilvl w:val="0"/>
                <w:numId w:val="15"/>
              </w:numPr>
              <w:spacing w:before="60" w:after="60"/>
              <w:jc w:val="both"/>
              <w:rPr>
                <w:iCs/>
                <w:sz w:val="20"/>
                <w:szCs w:val="20"/>
              </w:rPr>
            </w:pPr>
            <w:r w:rsidRPr="00923AC3">
              <w:rPr>
                <w:iCs/>
                <w:sz w:val="20"/>
                <w:szCs w:val="20"/>
              </w:rPr>
              <w:t xml:space="preserve">confermare </w:t>
            </w:r>
            <w:r>
              <w:rPr>
                <w:iCs/>
                <w:sz w:val="20"/>
                <w:szCs w:val="20"/>
              </w:rPr>
              <w:t xml:space="preserve">negli stessi modelli ovarici che i tumori CI-nulli </w:t>
            </w:r>
            <w:r w:rsidRPr="007059A5">
              <w:rPr>
                <w:iCs/>
                <w:sz w:val="20"/>
                <w:szCs w:val="20"/>
              </w:rPr>
              <w:t xml:space="preserve">innescano meccanismi adattativi </w:t>
            </w:r>
            <w:r>
              <w:rPr>
                <w:iCs/>
                <w:sz w:val="20"/>
                <w:szCs w:val="20"/>
              </w:rPr>
              <w:t xml:space="preserve">per </w:t>
            </w:r>
            <w:r w:rsidR="00E53540">
              <w:rPr>
                <w:iCs/>
                <w:sz w:val="20"/>
                <w:szCs w:val="20"/>
              </w:rPr>
              <w:t>garantire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E53540">
              <w:rPr>
                <w:iCs/>
                <w:sz w:val="20"/>
                <w:szCs w:val="20"/>
              </w:rPr>
              <w:t>il proseguimento del</w:t>
            </w:r>
            <w:r>
              <w:rPr>
                <w:iCs/>
                <w:sz w:val="20"/>
                <w:szCs w:val="20"/>
              </w:rPr>
              <w:t xml:space="preserve">la crescita tumorale, </w:t>
            </w:r>
            <w:r w:rsidRPr="007059A5">
              <w:rPr>
                <w:iCs/>
                <w:sz w:val="20"/>
                <w:szCs w:val="20"/>
              </w:rPr>
              <w:t xml:space="preserve">come l'attrazione </w:t>
            </w:r>
            <w:r>
              <w:rPr>
                <w:iCs/>
                <w:sz w:val="20"/>
                <w:szCs w:val="20"/>
              </w:rPr>
              <w:t xml:space="preserve">delle cellule stromali e </w:t>
            </w:r>
            <w:r w:rsidRPr="00923AC3">
              <w:rPr>
                <w:iCs/>
                <w:sz w:val="20"/>
                <w:szCs w:val="20"/>
              </w:rPr>
              <w:t>l'acidificazione del microambiente tumorale</w:t>
            </w:r>
            <w:r>
              <w:rPr>
                <w:iCs/>
                <w:sz w:val="20"/>
                <w:szCs w:val="20"/>
              </w:rPr>
              <w:t>, in modo da</w:t>
            </w:r>
            <w:r w:rsidRPr="00923AC3">
              <w:rPr>
                <w:iCs/>
                <w:sz w:val="20"/>
                <w:szCs w:val="20"/>
              </w:rPr>
              <w:t xml:space="preserve"> supportare l'invasione e </w:t>
            </w:r>
            <w:r w:rsidR="00FA6FD2">
              <w:rPr>
                <w:iCs/>
                <w:sz w:val="20"/>
                <w:szCs w:val="20"/>
              </w:rPr>
              <w:t>il processo di</w:t>
            </w:r>
            <w:r w:rsidRPr="00923AC3">
              <w:rPr>
                <w:iCs/>
                <w:sz w:val="20"/>
                <w:szCs w:val="20"/>
              </w:rPr>
              <w:t xml:space="preserve"> metasta</w:t>
            </w:r>
            <w:r w:rsidR="00FA6FD2">
              <w:rPr>
                <w:iCs/>
                <w:sz w:val="20"/>
                <w:szCs w:val="20"/>
              </w:rPr>
              <w:t>tizzazione</w:t>
            </w:r>
            <w:r w:rsidRPr="00923AC3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14:paraId="74477ECE" w14:textId="68428872" w:rsidR="007F0107" w:rsidRPr="00D40068" w:rsidRDefault="00860CA1" w:rsidP="00D40068">
            <w:pPr>
              <w:spacing w:before="60" w:after="60"/>
              <w:jc w:val="both"/>
              <w:rPr>
                <w:iCs/>
                <w:sz w:val="20"/>
                <w:szCs w:val="20"/>
              </w:rPr>
            </w:pPr>
            <w:r w:rsidRPr="00D40068">
              <w:rPr>
                <w:iCs/>
                <w:sz w:val="20"/>
                <w:szCs w:val="20"/>
              </w:rPr>
              <w:t>L’i</w:t>
            </w:r>
            <w:r w:rsidR="007F0107" w:rsidRPr="00D40068">
              <w:rPr>
                <w:iCs/>
                <w:sz w:val="20"/>
                <w:szCs w:val="20"/>
              </w:rPr>
              <w:t xml:space="preserve">noculo per mezzo di iniezione intraperitoneale in topi nu/nu </w:t>
            </w:r>
            <w:r w:rsidRPr="00D40068">
              <w:rPr>
                <w:iCs/>
                <w:sz w:val="20"/>
                <w:szCs w:val="20"/>
              </w:rPr>
              <w:t xml:space="preserve">verrà eseguito su 8 animali per ogni gruppo/linea cellulare </w:t>
            </w:r>
            <w:r w:rsidR="007F0107" w:rsidRPr="00D40068">
              <w:rPr>
                <w:iCs/>
                <w:sz w:val="20"/>
                <w:szCs w:val="20"/>
              </w:rPr>
              <w:t>(n=8</w:t>
            </w:r>
            <w:r w:rsidRPr="00D40068">
              <w:rPr>
                <w:iCs/>
                <w:sz w:val="20"/>
                <w:szCs w:val="20"/>
              </w:rPr>
              <w:t xml:space="preserve"> linee CI-nulle; n=8 CI-</w:t>
            </w:r>
            <w:proofErr w:type="spellStart"/>
            <w:r w:rsidRPr="00D40068">
              <w:rPr>
                <w:iCs/>
                <w:sz w:val="20"/>
                <w:szCs w:val="20"/>
              </w:rPr>
              <w:t>competeneti</w:t>
            </w:r>
            <w:proofErr w:type="spellEnd"/>
            <w:r w:rsidR="007F0107" w:rsidRPr="00D40068">
              <w:rPr>
                <w:iCs/>
                <w:sz w:val="20"/>
                <w:szCs w:val="20"/>
              </w:rPr>
              <w:t>)</w:t>
            </w:r>
            <w:r w:rsidRPr="00D40068">
              <w:rPr>
                <w:iCs/>
                <w:sz w:val="20"/>
                <w:szCs w:val="20"/>
              </w:rPr>
              <w:t xml:space="preserve">. Saranno inoculate </w:t>
            </w:r>
            <w:r w:rsidR="007F0107" w:rsidRPr="00D40068">
              <w:rPr>
                <w:iCs/>
                <w:sz w:val="20"/>
                <w:szCs w:val="20"/>
              </w:rPr>
              <w:t>1x10</w:t>
            </w:r>
            <w:r w:rsidR="007F0107" w:rsidRPr="00D40068">
              <w:rPr>
                <w:iCs/>
                <w:sz w:val="20"/>
                <w:szCs w:val="20"/>
                <w:vertAlign w:val="superscript"/>
              </w:rPr>
              <w:t>7</w:t>
            </w:r>
            <w:r w:rsidR="007F0107" w:rsidRPr="00D40068">
              <w:rPr>
                <w:iCs/>
                <w:sz w:val="20"/>
                <w:szCs w:val="20"/>
              </w:rPr>
              <w:t xml:space="preserve"> cellule delle linee umane ovariche SKOV-3, CAOV3, OVSAHO, OVCAR4 e della linea murina ovarica CI-nulla ID8 in topi BALB/c</w:t>
            </w:r>
            <w:r w:rsidRPr="00D40068">
              <w:rPr>
                <w:iCs/>
                <w:sz w:val="20"/>
                <w:szCs w:val="20"/>
              </w:rPr>
              <w:t xml:space="preserve"> (Mese 1-6)</w:t>
            </w:r>
            <w:r w:rsidR="007F0107" w:rsidRPr="00D40068">
              <w:rPr>
                <w:iCs/>
                <w:sz w:val="20"/>
                <w:szCs w:val="20"/>
              </w:rPr>
              <w:t>.</w:t>
            </w:r>
            <w:r w:rsidR="006B122B" w:rsidRPr="00D40068">
              <w:rPr>
                <w:iCs/>
                <w:sz w:val="20"/>
                <w:szCs w:val="20"/>
              </w:rPr>
              <w:t xml:space="preserve"> La c</w:t>
            </w:r>
            <w:r w:rsidR="007F0107" w:rsidRPr="00D40068">
              <w:rPr>
                <w:iCs/>
                <w:sz w:val="20"/>
                <w:szCs w:val="20"/>
              </w:rPr>
              <w:t xml:space="preserve">aratterizzazione dei tessuti </w:t>
            </w:r>
            <w:proofErr w:type="spellStart"/>
            <w:r w:rsidR="007F0107" w:rsidRPr="00D40068">
              <w:rPr>
                <w:iCs/>
                <w:sz w:val="20"/>
                <w:szCs w:val="20"/>
              </w:rPr>
              <w:t>xenograft</w:t>
            </w:r>
            <w:proofErr w:type="spellEnd"/>
            <w:r w:rsidR="007F0107" w:rsidRPr="00D40068">
              <w:rPr>
                <w:iCs/>
                <w:sz w:val="20"/>
                <w:szCs w:val="20"/>
              </w:rPr>
              <w:t xml:space="preserve"> ottenuti</w:t>
            </w:r>
            <w:r w:rsidR="006B122B" w:rsidRPr="00D40068">
              <w:rPr>
                <w:iCs/>
                <w:sz w:val="20"/>
                <w:szCs w:val="20"/>
              </w:rPr>
              <w:t xml:space="preserve"> sarà eseguita mediante</w:t>
            </w:r>
            <w:r w:rsidR="007F0107" w:rsidRPr="00D40068">
              <w:rPr>
                <w:iCs/>
                <w:sz w:val="20"/>
                <w:szCs w:val="20"/>
              </w:rPr>
              <w:t xml:space="preserve"> analisi di immunoistochimica e immunofluorescenza; estrazione di RNA, </w:t>
            </w:r>
            <w:r w:rsidR="007F0107" w:rsidRPr="00D40068">
              <w:rPr>
                <w:iCs/>
                <w:sz w:val="20"/>
                <w:szCs w:val="20"/>
              </w:rPr>
              <w:lastRenderedPageBreak/>
              <w:t xml:space="preserve">proteine </w:t>
            </w:r>
            <w:r w:rsidR="00BA5C99">
              <w:rPr>
                <w:iCs/>
                <w:sz w:val="20"/>
                <w:szCs w:val="20"/>
              </w:rPr>
              <w:t>e</w:t>
            </w:r>
            <w:r w:rsidR="007F0107" w:rsidRPr="00D40068">
              <w:rPr>
                <w:iCs/>
                <w:sz w:val="20"/>
                <w:szCs w:val="20"/>
              </w:rPr>
              <w:t xml:space="preserve"> metaboliti</w:t>
            </w:r>
            <w:r w:rsidR="006B122B" w:rsidRPr="00D40068">
              <w:rPr>
                <w:iCs/>
                <w:sz w:val="20"/>
                <w:szCs w:val="20"/>
              </w:rPr>
              <w:t xml:space="preserve"> da tessuti freschi e congelati. Dagli stessi campioni verranno g</w:t>
            </w:r>
            <w:r w:rsidR="007F0107" w:rsidRPr="00D40068">
              <w:rPr>
                <w:iCs/>
                <w:sz w:val="20"/>
                <w:szCs w:val="20"/>
              </w:rPr>
              <w:t>enera</w:t>
            </w:r>
            <w:r w:rsidR="006B122B" w:rsidRPr="00D40068">
              <w:rPr>
                <w:iCs/>
                <w:sz w:val="20"/>
                <w:szCs w:val="20"/>
              </w:rPr>
              <w:t>t</w:t>
            </w:r>
            <w:r w:rsidR="007F0107" w:rsidRPr="00D40068">
              <w:rPr>
                <w:iCs/>
                <w:sz w:val="20"/>
                <w:szCs w:val="20"/>
              </w:rPr>
              <w:t xml:space="preserve">e colture </w:t>
            </w:r>
            <w:r w:rsidR="007F0107" w:rsidRPr="00D40068">
              <w:rPr>
                <w:i/>
                <w:iCs/>
                <w:sz w:val="20"/>
                <w:szCs w:val="20"/>
              </w:rPr>
              <w:t xml:space="preserve">ex vivo </w:t>
            </w:r>
            <w:r w:rsidR="007F0107" w:rsidRPr="00D40068">
              <w:rPr>
                <w:iCs/>
                <w:sz w:val="20"/>
                <w:szCs w:val="20"/>
              </w:rPr>
              <w:t>(Mese 6-8)</w:t>
            </w:r>
            <w:r w:rsidR="00BA5C99">
              <w:rPr>
                <w:iCs/>
                <w:sz w:val="20"/>
                <w:szCs w:val="20"/>
              </w:rPr>
              <w:t>.</w:t>
            </w:r>
          </w:p>
          <w:p w14:paraId="6BCD48AF" w14:textId="586CD86F" w:rsidR="00923AC3" w:rsidRPr="007F0107" w:rsidRDefault="00923AC3" w:rsidP="006B122B">
            <w:pPr>
              <w:spacing w:before="60" w:after="6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Obiettivo secondario:</w:t>
            </w:r>
          </w:p>
          <w:p w14:paraId="6A4B0195" w14:textId="1C9EE135" w:rsidR="00DA0048" w:rsidRPr="00923AC3" w:rsidRDefault="00923AC3" w:rsidP="00923AC3">
            <w:pPr>
              <w:pStyle w:val="Paragrafoelenco"/>
              <w:numPr>
                <w:ilvl w:val="0"/>
                <w:numId w:val="14"/>
              </w:numPr>
              <w:spacing w:before="60" w:after="6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</w:t>
            </w:r>
            <w:r w:rsidR="00DA0048" w:rsidRPr="00923AC3">
              <w:rPr>
                <w:iCs/>
                <w:sz w:val="20"/>
                <w:szCs w:val="20"/>
              </w:rPr>
              <w:t>imostrare che l’inibizione di ERR</w:t>
            </w:r>
            <w:r w:rsidR="00DA0048" w:rsidRPr="007F0107">
              <w:sym w:font="Symbol" w:char="F061"/>
            </w:r>
            <w:r w:rsidR="005E3D73">
              <w:rPr>
                <w:iCs/>
                <w:sz w:val="20"/>
                <w:szCs w:val="20"/>
              </w:rPr>
              <w:t xml:space="preserve"> con l’inibitore</w:t>
            </w:r>
            <w:r w:rsidR="00DA0048" w:rsidRPr="00923AC3">
              <w:rPr>
                <w:iCs/>
                <w:sz w:val="20"/>
                <w:szCs w:val="20"/>
              </w:rPr>
              <w:t xml:space="preserve"> XCT790 causi una riduzione dell’angiogenesi </w:t>
            </w:r>
            <w:r w:rsidR="00411FD2" w:rsidRPr="00411FD2">
              <w:rPr>
                <w:i/>
                <w:sz w:val="20"/>
                <w:szCs w:val="20"/>
              </w:rPr>
              <w:t>in vitro</w:t>
            </w:r>
            <w:r w:rsidR="00411FD2">
              <w:rPr>
                <w:iCs/>
                <w:sz w:val="20"/>
                <w:szCs w:val="20"/>
              </w:rPr>
              <w:t xml:space="preserve"> </w:t>
            </w:r>
            <w:r w:rsidR="00DA0048" w:rsidRPr="00923AC3">
              <w:rPr>
                <w:iCs/>
                <w:sz w:val="20"/>
                <w:szCs w:val="20"/>
              </w:rPr>
              <w:t xml:space="preserve">attraverso l’abbassamento dei livelli di </w:t>
            </w:r>
            <w:r w:rsidR="00DA0048" w:rsidRPr="00923AC3">
              <w:rPr>
                <w:bCs/>
                <w:sz w:val="21"/>
                <w:szCs w:val="21"/>
              </w:rPr>
              <w:t>PGC1</w:t>
            </w:r>
            <w:r w:rsidR="00DA0048" w:rsidRPr="00B6422C">
              <w:rPr>
                <w:bCs/>
                <w:sz w:val="21"/>
                <w:szCs w:val="21"/>
              </w:rPr>
              <w:sym w:font="Symbol" w:char="F061"/>
            </w:r>
            <w:r w:rsidR="00DA0048" w:rsidRPr="00923AC3">
              <w:rPr>
                <w:bCs/>
                <w:sz w:val="21"/>
                <w:szCs w:val="21"/>
              </w:rPr>
              <w:t>.</w:t>
            </w:r>
          </w:p>
          <w:p w14:paraId="10AB2021" w14:textId="277C2D19" w:rsidR="007F0107" w:rsidRPr="00644483" w:rsidRDefault="009A4155" w:rsidP="00D873C8">
            <w:pPr>
              <w:spacing w:before="60" w:after="60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0"/>
                <w:szCs w:val="20"/>
              </w:rPr>
              <w:t xml:space="preserve">Le </w:t>
            </w:r>
            <w:r w:rsidR="007F0107" w:rsidRPr="007F0107">
              <w:rPr>
                <w:iCs/>
                <w:sz w:val="20"/>
                <w:szCs w:val="20"/>
              </w:rPr>
              <w:t xml:space="preserve">colture </w:t>
            </w:r>
            <w:r w:rsidR="007F0107" w:rsidRPr="007F0107">
              <w:rPr>
                <w:i/>
                <w:iCs/>
                <w:sz w:val="20"/>
                <w:szCs w:val="20"/>
              </w:rPr>
              <w:t xml:space="preserve">ex vivo </w:t>
            </w:r>
            <w:r>
              <w:rPr>
                <w:sz w:val="20"/>
                <w:szCs w:val="20"/>
              </w:rPr>
              <w:t xml:space="preserve">derivate dalle linee </w:t>
            </w:r>
            <w:r w:rsidRPr="007F0107">
              <w:rPr>
                <w:iCs/>
                <w:sz w:val="20"/>
                <w:szCs w:val="20"/>
              </w:rPr>
              <w:t xml:space="preserve">SKOV-3, CAOV3, OVSAHO, OVCAR4 </w:t>
            </w:r>
            <w:r w:rsidR="009F1535">
              <w:rPr>
                <w:iCs/>
                <w:sz w:val="20"/>
                <w:szCs w:val="20"/>
              </w:rPr>
              <w:t xml:space="preserve">(CI-nulle e CI-competenti) </w:t>
            </w:r>
            <w:r>
              <w:rPr>
                <w:sz w:val="20"/>
                <w:szCs w:val="20"/>
              </w:rPr>
              <w:t>saranno t</w:t>
            </w:r>
            <w:r w:rsidRPr="007F0107">
              <w:rPr>
                <w:iCs/>
                <w:sz w:val="20"/>
                <w:szCs w:val="20"/>
              </w:rPr>
              <w:t>ratta</w:t>
            </w:r>
            <w:r>
              <w:rPr>
                <w:iCs/>
                <w:sz w:val="20"/>
                <w:szCs w:val="20"/>
              </w:rPr>
              <w:t>te</w:t>
            </w:r>
            <w:r w:rsidRPr="007F0107">
              <w:rPr>
                <w:iCs/>
                <w:sz w:val="20"/>
                <w:szCs w:val="20"/>
              </w:rPr>
              <w:t xml:space="preserve"> in ipossia </w:t>
            </w:r>
            <w:r w:rsidR="007F0107" w:rsidRPr="007F0107">
              <w:rPr>
                <w:iCs/>
                <w:sz w:val="20"/>
                <w:szCs w:val="20"/>
              </w:rPr>
              <w:t>con l’inibitore di ERR</w:t>
            </w:r>
            <w:r w:rsidR="007F0107" w:rsidRPr="007F0107">
              <w:rPr>
                <w:iCs/>
                <w:sz w:val="20"/>
                <w:szCs w:val="20"/>
              </w:rPr>
              <w:sym w:font="Symbol" w:char="F061"/>
            </w:r>
            <w:r w:rsidR="00D873C8">
              <w:rPr>
                <w:iCs/>
                <w:sz w:val="20"/>
                <w:szCs w:val="20"/>
              </w:rPr>
              <w:t>,</w:t>
            </w:r>
            <w:r w:rsidR="007F0107" w:rsidRPr="007F0107">
              <w:rPr>
                <w:iCs/>
                <w:sz w:val="20"/>
                <w:szCs w:val="20"/>
              </w:rPr>
              <w:t xml:space="preserve"> XCT790</w:t>
            </w:r>
            <w:r w:rsidR="00D873C8">
              <w:rPr>
                <w:iCs/>
                <w:sz w:val="20"/>
                <w:szCs w:val="20"/>
              </w:rPr>
              <w:t>. Sarà eseguita l’</w:t>
            </w:r>
            <w:r w:rsidR="007F0107" w:rsidRPr="007F0107">
              <w:rPr>
                <w:iCs/>
                <w:sz w:val="20"/>
                <w:szCs w:val="20"/>
              </w:rPr>
              <w:t xml:space="preserve">analisi del </w:t>
            </w:r>
            <w:proofErr w:type="spellStart"/>
            <w:r w:rsidR="007F0107" w:rsidRPr="007F0107">
              <w:rPr>
                <w:iCs/>
                <w:sz w:val="20"/>
                <w:szCs w:val="20"/>
              </w:rPr>
              <w:t>secretoma</w:t>
            </w:r>
            <w:proofErr w:type="spellEnd"/>
            <w:r w:rsidR="007F0107" w:rsidRPr="007F0107">
              <w:rPr>
                <w:iCs/>
                <w:sz w:val="20"/>
                <w:szCs w:val="20"/>
              </w:rPr>
              <w:t xml:space="preserve"> per valutare i livelli di VEGF </w:t>
            </w:r>
            <w:r w:rsidR="00D873C8">
              <w:rPr>
                <w:iCs/>
                <w:sz w:val="20"/>
                <w:szCs w:val="20"/>
              </w:rPr>
              <w:t>prodotto e secreto all’esterno delle cellule</w:t>
            </w:r>
            <w:r w:rsidR="007F0107" w:rsidRPr="007F0107">
              <w:rPr>
                <w:iCs/>
                <w:sz w:val="20"/>
                <w:szCs w:val="20"/>
              </w:rPr>
              <w:t xml:space="preserve">; </w:t>
            </w:r>
            <w:r w:rsidR="00D873C8">
              <w:rPr>
                <w:iCs/>
                <w:sz w:val="20"/>
                <w:szCs w:val="20"/>
              </w:rPr>
              <w:t xml:space="preserve">attraverso </w:t>
            </w:r>
            <w:proofErr w:type="spellStart"/>
            <w:r w:rsidR="00D873C8" w:rsidRPr="007F0107">
              <w:rPr>
                <w:iCs/>
                <w:sz w:val="20"/>
                <w:szCs w:val="20"/>
              </w:rPr>
              <w:t>qRT</w:t>
            </w:r>
            <w:proofErr w:type="spellEnd"/>
            <w:r w:rsidR="00D873C8" w:rsidRPr="007F0107">
              <w:rPr>
                <w:iCs/>
                <w:sz w:val="20"/>
                <w:szCs w:val="20"/>
              </w:rPr>
              <w:t xml:space="preserve">-PCR </w:t>
            </w:r>
            <w:r w:rsidR="00D873C8">
              <w:rPr>
                <w:iCs/>
                <w:sz w:val="20"/>
                <w:szCs w:val="20"/>
              </w:rPr>
              <w:t xml:space="preserve">saranno </w:t>
            </w:r>
            <w:r w:rsidR="007F0107" w:rsidRPr="007F0107">
              <w:rPr>
                <w:iCs/>
                <w:sz w:val="20"/>
                <w:szCs w:val="20"/>
              </w:rPr>
              <w:t>misura</w:t>
            </w:r>
            <w:r w:rsidR="00D873C8">
              <w:rPr>
                <w:iCs/>
                <w:sz w:val="20"/>
                <w:szCs w:val="20"/>
              </w:rPr>
              <w:t>ti</w:t>
            </w:r>
            <w:r w:rsidR="007F0107" w:rsidRPr="007F0107">
              <w:rPr>
                <w:iCs/>
                <w:sz w:val="20"/>
                <w:szCs w:val="20"/>
              </w:rPr>
              <w:t xml:space="preserve"> i livelli di espressione di PGC1</w:t>
            </w:r>
            <w:r w:rsidR="007F0107" w:rsidRPr="007F0107">
              <w:rPr>
                <w:iCs/>
                <w:sz w:val="20"/>
                <w:szCs w:val="20"/>
              </w:rPr>
              <w:sym w:font="Symbol" w:char="F061"/>
            </w:r>
            <w:r w:rsidR="007F0107" w:rsidRPr="007F0107">
              <w:rPr>
                <w:iCs/>
                <w:sz w:val="20"/>
                <w:szCs w:val="20"/>
              </w:rPr>
              <w:t xml:space="preserve"> e </w:t>
            </w:r>
            <w:r w:rsidR="00D873C8">
              <w:rPr>
                <w:iCs/>
                <w:sz w:val="20"/>
                <w:szCs w:val="20"/>
              </w:rPr>
              <w:t xml:space="preserve">mediante </w:t>
            </w:r>
            <w:r w:rsidR="00D873C8" w:rsidRPr="007F0107">
              <w:rPr>
                <w:iCs/>
                <w:sz w:val="20"/>
                <w:szCs w:val="20"/>
              </w:rPr>
              <w:t xml:space="preserve">Western </w:t>
            </w:r>
            <w:proofErr w:type="spellStart"/>
            <w:r w:rsidR="00D873C8" w:rsidRPr="007F0107">
              <w:rPr>
                <w:iCs/>
                <w:sz w:val="20"/>
                <w:szCs w:val="20"/>
              </w:rPr>
              <w:t>Blot</w:t>
            </w:r>
            <w:proofErr w:type="spellEnd"/>
            <w:r w:rsidR="00D873C8" w:rsidRPr="007F0107">
              <w:rPr>
                <w:iCs/>
                <w:sz w:val="20"/>
                <w:szCs w:val="20"/>
              </w:rPr>
              <w:t xml:space="preserve"> </w:t>
            </w:r>
            <w:r w:rsidR="00D873C8">
              <w:rPr>
                <w:iCs/>
                <w:sz w:val="20"/>
                <w:szCs w:val="20"/>
              </w:rPr>
              <w:t xml:space="preserve">verranno valutati i livelli </w:t>
            </w:r>
            <w:r w:rsidR="007F0107" w:rsidRPr="007F0107">
              <w:rPr>
                <w:iCs/>
                <w:sz w:val="20"/>
                <w:szCs w:val="20"/>
              </w:rPr>
              <w:t>di ERR</w:t>
            </w:r>
            <w:r w:rsidR="007F0107" w:rsidRPr="007F0107">
              <w:rPr>
                <w:iCs/>
                <w:sz w:val="20"/>
                <w:szCs w:val="20"/>
              </w:rPr>
              <w:sym w:font="Symbol" w:char="F061"/>
            </w:r>
            <w:r w:rsidR="007F0107" w:rsidRPr="007F0107">
              <w:rPr>
                <w:iCs/>
                <w:sz w:val="20"/>
                <w:szCs w:val="20"/>
              </w:rPr>
              <w:t xml:space="preserve"> (</w:t>
            </w:r>
            <w:r w:rsidR="00F443BF">
              <w:rPr>
                <w:iCs/>
                <w:sz w:val="20"/>
                <w:szCs w:val="20"/>
              </w:rPr>
              <w:t xml:space="preserve">Mese </w:t>
            </w:r>
            <w:r w:rsidR="007F0107" w:rsidRPr="007F0107">
              <w:rPr>
                <w:iCs/>
                <w:sz w:val="20"/>
                <w:szCs w:val="20"/>
              </w:rPr>
              <w:t>10-11)</w:t>
            </w:r>
            <w:r w:rsidR="00D873C8">
              <w:rPr>
                <w:iCs/>
                <w:sz w:val="20"/>
                <w:szCs w:val="20"/>
              </w:rPr>
              <w:t>.</w:t>
            </w:r>
            <w:r w:rsidR="00F71C6B">
              <w:rPr>
                <w:iCs/>
                <w:sz w:val="20"/>
                <w:szCs w:val="20"/>
              </w:rPr>
              <w:t xml:space="preserve"> </w:t>
            </w:r>
            <w:r w:rsidR="00D873C8">
              <w:rPr>
                <w:iCs/>
                <w:sz w:val="20"/>
                <w:szCs w:val="20"/>
              </w:rPr>
              <w:t>Successivamente, attraverso un esperimento di c</w:t>
            </w:r>
            <w:r w:rsidR="007F0107" w:rsidRPr="007F0107">
              <w:rPr>
                <w:iCs/>
                <w:sz w:val="20"/>
                <w:szCs w:val="20"/>
              </w:rPr>
              <w:t>o-coltur</w:t>
            </w:r>
            <w:r w:rsidR="00D873C8">
              <w:rPr>
                <w:iCs/>
                <w:sz w:val="20"/>
                <w:szCs w:val="20"/>
              </w:rPr>
              <w:t>a, l</w:t>
            </w:r>
            <w:r w:rsidR="007F0107" w:rsidRPr="007F0107">
              <w:rPr>
                <w:iCs/>
                <w:sz w:val="20"/>
                <w:szCs w:val="20"/>
              </w:rPr>
              <w:t xml:space="preserve">e linee cellulari </w:t>
            </w:r>
            <w:r w:rsidR="007F0107" w:rsidRPr="007F0107">
              <w:rPr>
                <w:i/>
                <w:iCs/>
                <w:sz w:val="20"/>
                <w:szCs w:val="20"/>
              </w:rPr>
              <w:t>ex vivo</w:t>
            </w:r>
            <w:r w:rsidR="00D873C8">
              <w:rPr>
                <w:iCs/>
                <w:sz w:val="20"/>
                <w:szCs w:val="20"/>
              </w:rPr>
              <w:t xml:space="preserve">, saranno seminate in </w:t>
            </w:r>
            <w:r w:rsidR="00D873C8" w:rsidRPr="00B6422C">
              <w:rPr>
                <w:bCs/>
                <w:sz w:val="21"/>
                <w:szCs w:val="21"/>
              </w:rPr>
              <w:t xml:space="preserve">piastre contenenti </w:t>
            </w:r>
            <w:proofErr w:type="spellStart"/>
            <w:r w:rsidR="00D873C8" w:rsidRPr="00B6422C">
              <w:rPr>
                <w:bCs/>
                <w:sz w:val="21"/>
                <w:szCs w:val="21"/>
              </w:rPr>
              <w:t>Matrigel</w:t>
            </w:r>
            <w:proofErr w:type="spellEnd"/>
            <w:r w:rsidR="00D873C8">
              <w:rPr>
                <w:bCs/>
                <w:sz w:val="21"/>
                <w:szCs w:val="21"/>
              </w:rPr>
              <w:t xml:space="preserve">, insieme alle cellule della linea endoteliale </w:t>
            </w:r>
            <w:r w:rsidR="00D873C8" w:rsidRPr="00B6422C">
              <w:rPr>
                <w:bCs/>
                <w:sz w:val="21"/>
                <w:szCs w:val="21"/>
              </w:rPr>
              <w:t>HUVEC</w:t>
            </w:r>
            <w:r w:rsidR="00D873C8">
              <w:rPr>
                <w:bCs/>
                <w:sz w:val="21"/>
                <w:szCs w:val="21"/>
              </w:rPr>
              <w:t xml:space="preserve">. In questo modo sarà possibile valutare in 3D se, in seguito all’aumento di </w:t>
            </w:r>
            <w:r w:rsidR="00D873C8" w:rsidRPr="007F0107">
              <w:rPr>
                <w:iCs/>
                <w:sz w:val="20"/>
                <w:szCs w:val="20"/>
              </w:rPr>
              <w:t xml:space="preserve">VEGF </w:t>
            </w:r>
            <w:r w:rsidR="00D873C8">
              <w:rPr>
                <w:iCs/>
                <w:sz w:val="20"/>
                <w:szCs w:val="20"/>
              </w:rPr>
              <w:t>prodotto dalle line</w:t>
            </w:r>
            <w:r w:rsidR="00CA5B4B">
              <w:rPr>
                <w:iCs/>
                <w:sz w:val="20"/>
                <w:szCs w:val="20"/>
              </w:rPr>
              <w:t>e</w:t>
            </w:r>
            <w:r w:rsidR="00D873C8">
              <w:rPr>
                <w:iCs/>
                <w:sz w:val="20"/>
                <w:szCs w:val="20"/>
              </w:rPr>
              <w:t xml:space="preserve"> stabili di cancro ovarico CI-nulle, </w:t>
            </w:r>
            <w:r w:rsidR="00D873C8">
              <w:rPr>
                <w:bCs/>
                <w:sz w:val="21"/>
                <w:szCs w:val="21"/>
              </w:rPr>
              <w:t xml:space="preserve">le </w:t>
            </w:r>
            <w:r w:rsidR="00D873C8" w:rsidRPr="00B6422C">
              <w:rPr>
                <w:bCs/>
                <w:sz w:val="21"/>
                <w:szCs w:val="21"/>
              </w:rPr>
              <w:t xml:space="preserve">cellule HUVEC </w:t>
            </w:r>
            <w:r w:rsidR="00D873C8">
              <w:rPr>
                <w:bCs/>
                <w:sz w:val="21"/>
                <w:szCs w:val="21"/>
              </w:rPr>
              <w:t xml:space="preserve">saranno in grado </w:t>
            </w:r>
            <w:r w:rsidR="00D873C8" w:rsidRPr="00B6422C">
              <w:rPr>
                <w:bCs/>
                <w:sz w:val="21"/>
                <w:szCs w:val="21"/>
              </w:rPr>
              <w:t xml:space="preserve">di formare strutture </w:t>
            </w:r>
            <w:r w:rsidR="00D873C8">
              <w:rPr>
                <w:bCs/>
                <w:sz w:val="21"/>
                <w:szCs w:val="21"/>
              </w:rPr>
              <w:t xml:space="preserve">tridimensionali </w:t>
            </w:r>
            <w:r w:rsidR="00D873C8" w:rsidRPr="00B6422C">
              <w:rPr>
                <w:bCs/>
                <w:sz w:val="21"/>
                <w:szCs w:val="21"/>
              </w:rPr>
              <w:t>simili a vasi sanguigni</w:t>
            </w:r>
            <w:r w:rsidR="00D873C8">
              <w:rPr>
                <w:bCs/>
                <w:sz w:val="21"/>
                <w:szCs w:val="21"/>
              </w:rPr>
              <w:t xml:space="preserve">. Al contempo, il trattamento con </w:t>
            </w:r>
            <w:r w:rsidR="00D873C8" w:rsidRPr="00644483">
              <w:rPr>
                <w:bCs/>
                <w:sz w:val="21"/>
                <w:szCs w:val="21"/>
              </w:rPr>
              <w:t xml:space="preserve">l’inibitore </w:t>
            </w:r>
            <w:r w:rsidR="00D873C8" w:rsidRPr="00644483">
              <w:rPr>
                <w:iCs/>
                <w:sz w:val="21"/>
                <w:szCs w:val="21"/>
              </w:rPr>
              <w:t>di ERR</w:t>
            </w:r>
            <w:r w:rsidR="00D873C8" w:rsidRPr="00644483">
              <w:rPr>
                <w:iCs/>
                <w:sz w:val="21"/>
                <w:szCs w:val="21"/>
              </w:rPr>
              <w:sym w:font="Symbol" w:char="F061"/>
            </w:r>
            <w:r w:rsidR="00D873C8" w:rsidRPr="00644483">
              <w:rPr>
                <w:iCs/>
                <w:sz w:val="21"/>
                <w:szCs w:val="21"/>
              </w:rPr>
              <w:t xml:space="preserve">, XCT790, </w:t>
            </w:r>
            <w:r w:rsidR="00923AC3" w:rsidRPr="00644483">
              <w:rPr>
                <w:iCs/>
                <w:sz w:val="21"/>
                <w:szCs w:val="21"/>
              </w:rPr>
              <w:t xml:space="preserve">consentirà di dimostrare un’eventuale riduzione della capacità delle cellule </w:t>
            </w:r>
            <w:r w:rsidR="00923AC3" w:rsidRPr="00644483">
              <w:rPr>
                <w:bCs/>
                <w:sz w:val="21"/>
                <w:szCs w:val="21"/>
              </w:rPr>
              <w:t>HUVEC di formare strutture simili a vasi sanguigni</w:t>
            </w:r>
            <w:r w:rsidR="00923AC3" w:rsidRPr="00644483">
              <w:rPr>
                <w:iCs/>
                <w:sz w:val="21"/>
                <w:szCs w:val="21"/>
              </w:rPr>
              <w:t xml:space="preserve"> </w:t>
            </w:r>
            <w:r w:rsidR="007F0107" w:rsidRPr="00644483">
              <w:rPr>
                <w:iCs/>
                <w:sz w:val="21"/>
                <w:szCs w:val="21"/>
              </w:rPr>
              <w:t>(Mese 11-12)</w:t>
            </w:r>
            <w:r w:rsidR="00923AC3" w:rsidRPr="00644483">
              <w:rPr>
                <w:iCs/>
                <w:sz w:val="21"/>
                <w:szCs w:val="21"/>
              </w:rPr>
              <w:t>.</w:t>
            </w:r>
          </w:p>
          <w:p w14:paraId="61DAD5AC" w14:textId="627C6ACD" w:rsidR="00644483" w:rsidRPr="00644483" w:rsidRDefault="00644483" w:rsidP="00D873C8">
            <w:pPr>
              <w:spacing w:before="60" w:after="60"/>
              <w:jc w:val="both"/>
              <w:rPr>
                <w:iCs/>
                <w:sz w:val="21"/>
                <w:szCs w:val="21"/>
              </w:rPr>
            </w:pPr>
            <w:r w:rsidRPr="00644483">
              <w:rPr>
                <w:iCs/>
                <w:sz w:val="21"/>
                <w:szCs w:val="21"/>
              </w:rPr>
              <w:t>L’assegnista sarà costantemente coinvolto nei lab meeting e nelle attività di brainstorming del gruppo di ricerca, settimanalmente, per il rendiconto delle attività di laboratorio. Parteciperà alla stesura dei lavori scientifici e verrà garantita la partecipazione ad almeno un congresso internazionale per anno.</w:t>
            </w:r>
          </w:p>
          <w:p w14:paraId="490F2501" w14:textId="5A1A1895" w:rsidR="008F7FAD" w:rsidRPr="00DB1934" w:rsidRDefault="008F7FAD" w:rsidP="00945AFC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24" w:type="dxa"/>
            <w:shd w:val="pct10" w:color="FFFF00" w:fill="auto"/>
            <w:vAlign w:val="center"/>
          </w:tcPr>
          <w:p w14:paraId="650B7B8A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52083">
              <w:rPr>
                <w:i/>
              </w:rPr>
              <w:lastRenderedPageBreak/>
              <w:t>Punti</w:t>
            </w:r>
          </w:p>
        </w:tc>
      </w:tr>
      <w:tr w:rsidR="008F7FAD" w:rsidRPr="00A4732A" w14:paraId="44D64D99" w14:textId="77777777" w:rsidTr="00945AFC">
        <w:trPr>
          <w:trHeight w:val="3090"/>
        </w:trPr>
        <w:tc>
          <w:tcPr>
            <w:tcW w:w="9854" w:type="dxa"/>
            <w:gridSpan w:val="6"/>
            <w:shd w:val="clear" w:color="auto" w:fill="auto"/>
          </w:tcPr>
          <w:p w14:paraId="0A24E79E" w14:textId="77777777" w:rsidR="008F7FAD" w:rsidRPr="00070031" w:rsidRDefault="008F7FAD" w:rsidP="00945AFC">
            <w:pPr>
              <w:pStyle w:val="NormaleWeb"/>
              <w:spacing w:before="0" w:beforeAutospacing="0" w:after="120" w:afterAutospacing="0"/>
              <w:jc w:val="both"/>
              <w:rPr>
                <w:color w:val="FF0000"/>
                <w:sz w:val="21"/>
                <w:szCs w:val="21"/>
              </w:rPr>
            </w:pPr>
          </w:p>
        </w:tc>
      </w:tr>
    </w:tbl>
    <w:p w14:paraId="6C6BBF12" w14:textId="77777777" w:rsidR="008F7FAD" w:rsidRDefault="008F7FAD" w:rsidP="008F7FAD">
      <w:pPr>
        <w:jc w:val="both"/>
        <w:rPr>
          <w:color w:val="FF0000"/>
        </w:rPr>
      </w:pPr>
      <w:r>
        <w:rPr>
          <w:color w:val="FF0000"/>
        </w:rPr>
        <w:t>SE RINNOVO, SI RICORDA DI ALLEGARE ANCHE LA RELAZIONE DELL’ASSEGNISTA</w:t>
      </w:r>
      <w:r w:rsidR="00052630">
        <w:rPr>
          <w:color w:val="FF0000"/>
        </w:rPr>
        <w:t xml:space="preserve"> CON LA SUA PRODUZIONE SCIENTIFICA</w:t>
      </w:r>
      <w:r>
        <w:rPr>
          <w:color w:val="FF0000"/>
        </w:rPr>
        <w:t>.</w:t>
      </w:r>
    </w:p>
    <w:p w14:paraId="7C8E033B" w14:textId="77777777" w:rsidR="008F7FAD" w:rsidRPr="00935A0A" w:rsidRDefault="008F7FAD" w:rsidP="008F7FAD">
      <w:pPr>
        <w:rPr>
          <w:color w:val="FF0000"/>
          <w:sz w:val="18"/>
        </w:rPr>
      </w:pPr>
    </w:p>
    <w:p w14:paraId="6F1EEBA3" w14:textId="77777777" w:rsidR="008F7FAD" w:rsidRPr="005918FB" w:rsidRDefault="008F7FAD" w:rsidP="008F7FAD">
      <w:pPr>
        <w:spacing w:after="60"/>
        <w:ind w:left="720"/>
        <w:jc w:val="right"/>
        <w:rPr>
          <w:i/>
        </w:rPr>
      </w:pPr>
      <w:r>
        <w:rPr>
          <w:i/>
        </w:rPr>
        <w:t>Scheda attività assistenziale (se prevista)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603B8" w:rsidRPr="00E603B8" w14:paraId="6AEB962C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BA23" w14:textId="77777777" w:rsidR="00341677" w:rsidRPr="00E603B8" w:rsidRDefault="00341677" w:rsidP="00D90C0A">
            <w:pPr>
              <w:spacing w:before="60" w:after="60"/>
              <w:jc w:val="both"/>
              <w:rPr>
                <w:b/>
                <w:color w:val="FF0000"/>
              </w:rPr>
            </w:pPr>
            <w:r w:rsidRPr="00E603B8">
              <w:rPr>
                <w:b/>
                <w:color w:val="FF0000"/>
              </w:rPr>
              <w:t>ATTIVITÀ ASSISTENZIALI DELL’ASSEGNISTA/ N. ORE SETTIMANA</w:t>
            </w:r>
          </w:p>
        </w:tc>
      </w:tr>
      <w:tr w:rsidR="00E603B8" w:rsidRPr="00E603B8" w14:paraId="20E9CA42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FE6F" w14:textId="148980B3" w:rsidR="00341677" w:rsidRPr="009C5648" w:rsidRDefault="009C5648" w:rsidP="00D90C0A">
            <w:pPr>
              <w:pStyle w:val="NormaleWeb"/>
              <w:spacing w:before="0" w:beforeAutospacing="0" w:after="120" w:afterAutospacing="0"/>
              <w:jc w:val="both"/>
              <w:rPr>
                <w:sz w:val="21"/>
                <w:szCs w:val="21"/>
              </w:rPr>
            </w:pPr>
            <w:r w:rsidRPr="009C5648">
              <w:rPr>
                <w:sz w:val="21"/>
                <w:szCs w:val="21"/>
              </w:rPr>
              <w:t>Non previste</w:t>
            </w:r>
          </w:p>
        </w:tc>
      </w:tr>
      <w:tr w:rsidR="00E603B8" w:rsidRPr="00E603B8" w14:paraId="76C48DE9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090A" w14:textId="77777777" w:rsidR="00341677" w:rsidRPr="009C5648" w:rsidRDefault="00341677" w:rsidP="00D90C0A">
            <w:pPr>
              <w:pStyle w:val="NormaleWeb"/>
              <w:spacing w:before="0" w:beforeAutospacing="0" w:after="120" w:afterAutospacing="0"/>
              <w:jc w:val="both"/>
              <w:rPr>
                <w:sz w:val="21"/>
                <w:szCs w:val="21"/>
              </w:rPr>
            </w:pPr>
          </w:p>
        </w:tc>
      </w:tr>
      <w:tr w:rsidR="00E603B8" w:rsidRPr="00E603B8" w14:paraId="25B1E51E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1635" w14:textId="77777777" w:rsidR="00341677" w:rsidRPr="00E603B8" w:rsidRDefault="00341677" w:rsidP="00D90C0A">
            <w:pPr>
              <w:pStyle w:val="NormaleWeb"/>
              <w:spacing w:before="0" w:beforeAutospacing="0" w:after="120" w:afterAutospacing="0"/>
              <w:jc w:val="both"/>
              <w:rPr>
                <w:color w:val="FF0000"/>
                <w:sz w:val="21"/>
                <w:szCs w:val="21"/>
              </w:rPr>
            </w:pPr>
          </w:p>
        </w:tc>
      </w:tr>
      <w:tr w:rsidR="00E603B8" w:rsidRPr="00E603B8" w14:paraId="4BABBBB2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7F19" w14:textId="77777777" w:rsidR="00341677" w:rsidRPr="00E603B8" w:rsidRDefault="00341677" w:rsidP="00D90C0A">
            <w:pPr>
              <w:pStyle w:val="NormaleWeb"/>
              <w:spacing w:before="0" w:beforeAutospacing="0" w:after="120" w:afterAutospacing="0"/>
              <w:jc w:val="both"/>
              <w:rPr>
                <w:color w:val="FF0000"/>
                <w:sz w:val="21"/>
                <w:szCs w:val="21"/>
              </w:rPr>
            </w:pPr>
            <w:r w:rsidRPr="00E603B8">
              <w:rPr>
                <w:color w:val="FF0000"/>
              </w:rPr>
              <w:t>AZIENDA SANITARIA PRESSO CUI SI SVOLGERÀ L’ATTIVITÀ</w:t>
            </w:r>
          </w:p>
        </w:tc>
      </w:tr>
      <w:tr w:rsidR="00341677" w14:paraId="0FA91781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7ECC" w14:textId="77777777" w:rsidR="00341677" w:rsidRDefault="00341677" w:rsidP="00D90C0A">
            <w:pPr>
              <w:pStyle w:val="NormaleWeb"/>
              <w:spacing w:before="0" w:beforeAutospacing="0" w:after="120" w:afterAutospacing="0"/>
              <w:jc w:val="both"/>
              <w:rPr>
                <w:sz w:val="21"/>
                <w:szCs w:val="21"/>
              </w:rPr>
            </w:pPr>
          </w:p>
        </w:tc>
      </w:tr>
    </w:tbl>
    <w:p w14:paraId="64F75699" w14:textId="77777777" w:rsidR="008F7FAD" w:rsidRDefault="008F7FAD" w:rsidP="008F7FAD">
      <w:pPr>
        <w:jc w:val="both"/>
      </w:pPr>
      <w:r w:rsidRPr="00946994">
        <w:t xml:space="preserve">Si ricorda che, come previsto dagli Accordi sull’impiego nell’attività assistenziale dei Titolari di assegni di ricerca, sottoscritti tra l’Università di Bologna e le Aziende Ospedaliere di riferimento, una </w:t>
      </w:r>
      <w:r w:rsidRPr="00946994">
        <w:lastRenderedPageBreak/>
        <w:t xml:space="preserve">volta stipulato il contratto con il vincitore della selezione, </w:t>
      </w:r>
      <w:r w:rsidRPr="00460601">
        <w:t>il tutor deve</w:t>
      </w:r>
      <w:r w:rsidRPr="00946994">
        <w:t xml:space="preserve"> consegnare alla Direzione Medica Ospedaliera la relativa modulistica, nella quale andranno riportate le attività qui segnalate.</w:t>
      </w:r>
    </w:p>
    <w:p w14:paraId="7FC22842" w14:textId="77777777" w:rsidR="00984211" w:rsidRDefault="00984211" w:rsidP="008F7FAD">
      <w:pPr>
        <w:jc w:val="both"/>
      </w:pPr>
    </w:p>
    <w:p w14:paraId="568F75C5" w14:textId="77777777" w:rsidR="00984211" w:rsidRDefault="00984211" w:rsidP="008F7FAD">
      <w:pPr>
        <w:jc w:val="both"/>
      </w:pPr>
    </w:p>
    <w:p w14:paraId="58A5E1E7" w14:textId="77777777" w:rsidR="00984211" w:rsidRPr="00C757B5" w:rsidRDefault="00984211" w:rsidP="008F7FAD">
      <w:pPr>
        <w:jc w:val="both"/>
        <w:rPr>
          <w:rFonts w:ascii="Trajan" w:hAnsi="Trajan"/>
        </w:rPr>
      </w:pPr>
    </w:p>
    <w:sectPr w:rsidR="00984211" w:rsidRPr="00C757B5" w:rsidSect="00BE1C84">
      <w:headerReference w:type="default" r:id="rId7"/>
      <w:footerReference w:type="default" r:id="rId8"/>
      <w:pgSz w:w="11906" w:h="16838"/>
      <w:pgMar w:top="1134" w:right="1134" w:bottom="567" w:left="1134" w:header="35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6A315" w14:textId="77777777" w:rsidR="00161BA5" w:rsidRDefault="00161BA5">
      <w:r>
        <w:separator/>
      </w:r>
    </w:p>
  </w:endnote>
  <w:endnote w:type="continuationSeparator" w:id="0">
    <w:p w14:paraId="29C3B5D1" w14:textId="77777777" w:rsidR="00161BA5" w:rsidRDefault="0016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jan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6772" w14:textId="77777777" w:rsidR="005848A0" w:rsidRPr="008A26FE" w:rsidRDefault="005848A0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  <w:sz w:val="20"/>
        <w:szCs w:val="20"/>
      </w:rPr>
    </w:pPr>
    <w:r w:rsidRPr="008A26FE">
      <w:rPr>
        <w:rFonts w:ascii="Garamond" w:hAnsi="Garamond"/>
        <w:smallCaps/>
        <w:sz w:val="20"/>
        <w:szCs w:val="20"/>
      </w:rPr>
      <w:t>ALMA MATER STUDIORUM - UNIVERSIT</w:t>
    </w:r>
    <w:r w:rsidRPr="008A26FE">
      <w:rPr>
        <w:rFonts w:ascii="Garamond" w:eastAsia="Arial Unicode MS" w:hAnsi="Garamond"/>
        <w:smallCaps/>
        <w:sz w:val="20"/>
        <w:szCs w:val="20"/>
      </w:rPr>
      <w:t>À</w:t>
    </w:r>
    <w:r w:rsidRPr="008A26FE">
      <w:rPr>
        <w:rFonts w:ascii="Garamond" w:hAnsi="Garamond"/>
        <w:smallCaps/>
        <w:sz w:val="20"/>
        <w:szCs w:val="20"/>
      </w:rPr>
      <w:t xml:space="preserve"> DI BOLOGNA</w:t>
    </w:r>
  </w:p>
  <w:p w14:paraId="428A76E0" w14:textId="77777777" w:rsidR="005848A0" w:rsidRDefault="005848A0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caps/>
        <w:sz w:val="16"/>
        <w:szCs w:val="16"/>
      </w:rPr>
    </w:pPr>
    <w:r>
      <w:rPr>
        <w:rFonts w:ascii="Garamond" w:hAnsi="Garamond"/>
        <w:caps/>
        <w:sz w:val="16"/>
        <w:szCs w:val="16"/>
      </w:rPr>
      <w:t>SEDE AMMINISTRATIVA C/O AZIENDA OSPEDALIERO-UNIVERSITARIA – POLICLINICO S. ORSOLA–MALPIGHI</w:t>
    </w:r>
  </w:p>
  <w:p w14:paraId="54FF4FE2" w14:textId="77777777" w:rsidR="005848A0" w:rsidRPr="00CB5C37" w:rsidRDefault="005848A0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szCs w:val="16"/>
      </w:rPr>
    </w:pPr>
    <w:r w:rsidRPr="008A26FE">
      <w:rPr>
        <w:rFonts w:ascii="Garamond" w:hAnsi="Garamond"/>
        <w:caps/>
        <w:sz w:val="16"/>
        <w:szCs w:val="16"/>
      </w:rPr>
      <w:t>Via</w:t>
    </w:r>
    <w:r>
      <w:rPr>
        <w:rFonts w:ascii="Garamond" w:hAnsi="Garamond"/>
        <w:caps/>
        <w:sz w:val="16"/>
        <w:szCs w:val="16"/>
      </w:rPr>
      <w:t xml:space="preserve"> MASSARENTI 9, PADIGLIONE 11</w:t>
    </w:r>
    <w:r w:rsidRPr="008A26FE">
      <w:rPr>
        <w:rFonts w:ascii="Garamond" w:hAnsi="Garamond"/>
        <w:caps/>
        <w:sz w:val="16"/>
        <w:szCs w:val="16"/>
      </w:rPr>
      <w:t xml:space="preserve"> </w:t>
    </w:r>
    <w:r>
      <w:rPr>
        <w:rFonts w:ascii="Garamond" w:hAnsi="Garamond"/>
        <w:caps/>
        <w:sz w:val="16"/>
        <w:szCs w:val="16"/>
      </w:rPr>
      <w:t xml:space="preserve">- </w:t>
    </w:r>
    <w:r w:rsidRPr="008A26FE">
      <w:rPr>
        <w:rFonts w:ascii="Garamond" w:hAnsi="Garamond"/>
        <w:caps/>
        <w:sz w:val="16"/>
        <w:szCs w:val="16"/>
      </w:rPr>
      <w:t>401</w:t>
    </w:r>
    <w:r>
      <w:rPr>
        <w:rFonts w:ascii="Garamond" w:hAnsi="Garamond"/>
        <w:caps/>
        <w:sz w:val="16"/>
        <w:szCs w:val="16"/>
      </w:rPr>
      <w:t>38 Bologna - Italia –</w:t>
    </w:r>
    <w:r w:rsidRPr="008A26FE">
      <w:rPr>
        <w:rFonts w:ascii="Garamond" w:hAnsi="Garamond"/>
        <w:caps/>
        <w:sz w:val="16"/>
        <w:szCs w:val="16"/>
      </w:rPr>
      <w:t xml:space="preserve"> </w:t>
    </w:r>
    <w:hyperlink r:id="rId1" w:history="1">
      <w:r w:rsidRPr="0017512C">
        <w:rPr>
          <w:rStyle w:val="Collegamentoipertestuale"/>
          <w:rFonts w:ascii="Garamond" w:hAnsi="Garamond"/>
          <w:sz w:val="20"/>
          <w:szCs w:val="20"/>
        </w:rPr>
        <w:t>dimec.dipartimento@pec.unibo.it</w:t>
      </w:r>
    </w:hyperlink>
    <w:r w:rsidRPr="00C05A72">
      <w:rPr>
        <w:rFonts w:ascii="Garamond" w:hAnsi="Garamond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39EC" w14:textId="77777777" w:rsidR="00161BA5" w:rsidRDefault="00161BA5">
      <w:r>
        <w:separator/>
      </w:r>
    </w:p>
  </w:footnote>
  <w:footnote w:type="continuationSeparator" w:id="0">
    <w:p w14:paraId="69FD34AF" w14:textId="77777777" w:rsidR="00161BA5" w:rsidRDefault="00161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A407" w14:textId="682A051D" w:rsidR="005848A0" w:rsidRDefault="005848A0" w:rsidP="002A0F0A">
    <w:pPr>
      <w:pStyle w:val="Intestazione"/>
      <w:jc w:val="center"/>
    </w:pPr>
    <w:r>
      <w:rPr>
        <w:noProof/>
      </w:rPr>
      <w:drawing>
        <wp:inline distT="0" distB="0" distL="0" distR="0" wp14:anchorId="6C880F6C" wp14:editId="1ED4E38B">
          <wp:extent cx="4057650" cy="1524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AB8"/>
    <w:multiLevelType w:val="hybridMultilevel"/>
    <w:tmpl w:val="B9C44AC0"/>
    <w:lvl w:ilvl="0" w:tplc="EE7C8D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47DC"/>
    <w:multiLevelType w:val="singleLevel"/>
    <w:tmpl w:val="EB5228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D163CB"/>
    <w:multiLevelType w:val="hybridMultilevel"/>
    <w:tmpl w:val="8416BFD0"/>
    <w:lvl w:ilvl="0" w:tplc="2B38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44601A"/>
    <w:multiLevelType w:val="hybridMultilevel"/>
    <w:tmpl w:val="495A6C50"/>
    <w:lvl w:ilvl="0" w:tplc="349A685A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F848D2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CADA8916">
      <w:start w:val="4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7D8511B"/>
    <w:multiLevelType w:val="hybridMultilevel"/>
    <w:tmpl w:val="50680440"/>
    <w:lvl w:ilvl="0" w:tplc="6E6CB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649CE"/>
    <w:multiLevelType w:val="hybridMultilevel"/>
    <w:tmpl w:val="495A6C50"/>
    <w:lvl w:ilvl="0" w:tplc="349A685A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F848D2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CADA8916">
      <w:start w:val="4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2C14CF1"/>
    <w:multiLevelType w:val="hybridMultilevel"/>
    <w:tmpl w:val="0068F3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251AD"/>
    <w:multiLevelType w:val="hybridMultilevel"/>
    <w:tmpl w:val="83C48AAC"/>
    <w:lvl w:ilvl="0" w:tplc="B76A02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F590E"/>
    <w:multiLevelType w:val="hybridMultilevel"/>
    <w:tmpl w:val="0464C1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C6730"/>
    <w:multiLevelType w:val="hybridMultilevel"/>
    <w:tmpl w:val="887EAD4E"/>
    <w:lvl w:ilvl="0" w:tplc="A13CFB7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2BB2058"/>
    <w:multiLevelType w:val="hybridMultilevel"/>
    <w:tmpl w:val="E8F0DA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492921"/>
    <w:multiLevelType w:val="hybridMultilevel"/>
    <w:tmpl w:val="354AB89A"/>
    <w:lvl w:ilvl="0" w:tplc="03C84D0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773A9F"/>
    <w:multiLevelType w:val="hybridMultilevel"/>
    <w:tmpl w:val="CECE3EAC"/>
    <w:lvl w:ilvl="0" w:tplc="228A8898">
      <w:start w:val="2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C7F74DA"/>
    <w:multiLevelType w:val="hybridMultilevel"/>
    <w:tmpl w:val="57F488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9418797">
    <w:abstractNumId w:val="12"/>
  </w:num>
  <w:num w:numId="2" w16cid:durableId="629824797">
    <w:abstractNumId w:val="4"/>
  </w:num>
  <w:num w:numId="3" w16cid:durableId="114643928">
    <w:abstractNumId w:val="1"/>
  </w:num>
  <w:num w:numId="4" w16cid:durableId="831141055">
    <w:abstractNumId w:val="9"/>
  </w:num>
  <w:num w:numId="5" w16cid:durableId="729961432">
    <w:abstractNumId w:val="2"/>
  </w:num>
  <w:num w:numId="6" w16cid:durableId="742534815">
    <w:abstractNumId w:val="6"/>
  </w:num>
  <w:num w:numId="7" w16cid:durableId="204686273">
    <w:abstractNumId w:val="10"/>
  </w:num>
  <w:num w:numId="8" w16cid:durableId="1453010717">
    <w:abstractNumId w:val="3"/>
  </w:num>
  <w:num w:numId="9" w16cid:durableId="56364333">
    <w:abstractNumId w:val="14"/>
  </w:num>
  <w:num w:numId="10" w16cid:durableId="1984651157">
    <w:abstractNumId w:val="13"/>
  </w:num>
  <w:num w:numId="11" w16cid:durableId="82848942">
    <w:abstractNumId w:val="11"/>
  </w:num>
  <w:num w:numId="12" w16cid:durableId="1436166946">
    <w:abstractNumId w:val="5"/>
  </w:num>
  <w:num w:numId="13" w16cid:durableId="2138452269">
    <w:abstractNumId w:val="8"/>
  </w:num>
  <w:num w:numId="14" w16cid:durableId="1629048246">
    <w:abstractNumId w:val="0"/>
  </w:num>
  <w:num w:numId="15" w16cid:durableId="11162153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3B25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6EF1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59"/>
    <w:rsid w:val="00042B86"/>
    <w:rsid w:val="0004347C"/>
    <w:rsid w:val="00043D8A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2630"/>
    <w:rsid w:val="0005379F"/>
    <w:rsid w:val="00054F9D"/>
    <w:rsid w:val="00056F8C"/>
    <w:rsid w:val="0005744F"/>
    <w:rsid w:val="00060F13"/>
    <w:rsid w:val="0006159F"/>
    <w:rsid w:val="000627C5"/>
    <w:rsid w:val="00062CD8"/>
    <w:rsid w:val="000638A4"/>
    <w:rsid w:val="00063CCE"/>
    <w:rsid w:val="0006451B"/>
    <w:rsid w:val="000649E3"/>
    <w:rsid w:val="00065195"/>
    <w:rsid w:val="00065DE4"/>
    <w:rsid w:val="00067DC5"/>
    <w:rsid w:val="00070B79"/>
    <w:rsid w:val="00071338"/>
    <w:rsid w:val="00072AEC"/>
    <w:rsid w:val="00072B7E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3A02"/>
    <w:rsid w:val="0008456A"/>
    <w:rsid w:val="00085ABA"/>
    <w:rsid w:val="00086B44"/>
    <w:rsid w:val="000870AA"/>
    <w:rsid w:val="00087DAB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5CCB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3B8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5793"/>
    <w:rsid w:val="000E6126"/>
    <w:rsid w:val="000E67DA"/>
    <w:rsid w:val="000E78BC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67BA"/>
    <w:rsid w:val="000F71E0"/>
    <w:rsid w:val="000F7275"/>
    <w:rsid w:val="000F7341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41A9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253E"/>
    <w:rsid w:val="001237CD"/>
    <w:rsid w:val="001237E2"/>
    <w:rsid w:val="00123C33"/>
    <w:rsid w:val="00123C82"/>
    <w:rsid w:val="00124A04"/>
    <w:rsid w:val="001250DC"/>
    <w:rsid w:val="00126819"/>
    <w:rsid w:val="00126A5B"/>
    <w:rsid w:val="00130867"/>
    <w:rsid w:val="0013129B"/>
    <w:rsid w:val="00131662"/>
    <w:rsid w:val="00132368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BA5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36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C5F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749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03AC"/>
    <w:rsid w:val="001F08B5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BC9"/>
    <w:rsid w:val="001F4D71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6E2D"/>
    <w:rsid w:val="00227051"/>
    <w:rsid w:val="002275A5"/>
    <w:rsid w:val="00227D35"/>
    <w:rsid w:val="00231356"/>
    <w:rsid w:val="00232299"/>
    <w:rsid w:val="00232423"/>
    <w:rsid w:val="00232917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295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D76"/>
    <w:rsid w:val="00261546"/>
    <w:rsid w:val="00261956"/>
    <w:rsid w:val="00263B5D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13F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376E"/>
    <w:rsid w:val="00284119"/>
    <w:rsid w:val="002844C4"/>
    <w:rsid w:val="00284B08"/>
    <w:rsid w:val="0028527F"/>
    <w:rsid w:val="002852CC"/>
    <w:rsid w:val="00285AF2"/>
    <w:rsid w:val="00290763"/>
    <w:rsid w:val="002909D7"/>
    <w:rsid w:val="00290FBD"/>
    <w:rsid w:val="00291382"/>
    <w:rsid w:val="002914F6"/>
    <w:rsid w:val="00291801"/>
    <w:rsid w:val="0029228A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A7F88"/>
    <w:rsid w:val="002B0DB8"/>
    <w:rsid w:val="002B1CB9"/>
    <w:rsid w:val="002B2784"/>
    <w:rsid w:val="002B2E7B"/>
    <w:rsid w:val="002B3409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6FA4"/>
    <w:rsid w:val="002C70B6"/>
    <w:rsid w:val="002C7805"/>
    <w:rsid w:val="002D02D6"/>
    <w:rsid w:val="002D07E0"/>
    <w:rsid w:val="002D0E76"/>
    <w:rsid w:val="002D12D8"/>
    <w:rsid w:val="002D2D76"/>
    <w:rsid w:val="002D31EC"/>
    <w:rsid w:val="002D3220"/>
    <w:rsid w:val="002D33FD"/>
    <w:rsid w:val="002D4540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153"/>
    <w:rsid w:val="002F3E6D"/>
    <w:rsid w:val="002F5C4C"/>
    <w:rsid w:val="002F6720"/>
    <w:rsid w:val="002F68AB"/>
    <w:rsid w:val="002F6DD5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020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1677"/>
    <w:rsid w:val="00342D06"/>
    <w:rsid w:val="00343A82"/>
    <w:rsid w:val="003444BB"/>
    <w:rsid w:val="00344619"/>
    <w:rsid w:val="00344AD0"/>
    <w:rsid w:val="00345C82"/>
    <w:rsid w:val="00345DF7"/>
    <w:rsid w:val="00345E12"/>
    <w:rsid w:val="0034693D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87092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1BF4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2B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6259"/>
    <w:rsid w:val="00407201"/>
    <w:rsid w:val="004072DF"/>
    <w:rsid w:val="00410CE9"/>
    <w:rsid w:val="00410D13"/>
    <w:rsid w:val="00411FD2"/>
    <w:rsid w:val="00413138"/>
    <w:rsid w:val="004131B4"/>
    <w:rsid w:val="004142D4"/>
    <w:rsid w:val="00414ABA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579B0"/>
    <w:rsid w:val="00460601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52F"/>
    <w:rsid w:val="00484ED9"/>
    <w:rsid w:val="00484FF2"/>
    <w:rsid w:val="004868FB"/>
    <w:rsid w:val="00486C74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F3B"/>
    <w:rsid w:val="004A2876"/>
    <w:rsid w:val="004A373F"/>
    <w:rsid w:val="004A3F47"/>
    <w:rsid w:val="004A5824"/>
    <w:rsid w:val="004A5CCA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48E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928"/>
    <w:rsid w:val="00500E78"/>
    <w:rsid w:val="0050255B"/>
    <w:rsid w:val="00502A48"/>
    <w:rsid w:val="00503A4B"/>
    <w:rsid w:val="00503F90"/>
    <w:rsid w:val="00505438"/>
    <w:rsid w:val="005054E3"/>
    <w:rsid w:val="005061F9"/>
    <w:rsid w:val="0050678C"/>
    <w:rsid w:val="00506CF8"/>
    <w:rsid w:val="00507027"/>
    <w:rsid w:val="00511AA4"/>
    <w:rsid w:val="00513081"/>
    <w:rsid w:val="00513C3D"/>
    <w:rsid w:val="0051421B"/>
    <w:rsid w:val="005142DD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43C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35B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32E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8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48A0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206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0880"/>
    <w:rsid w:val="005C15A3"/>
    <w:rsid w:val="005C230E"/>
    <w:rsid w:val="005C275A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5FD2"/>
    <w:rsid w:val="005C6284"/>
    <w:rsid w:val="005C6420"/>
    <w:rsid w:val="005C6854"/>
    <w:rsid w:val="005C6934"/>
    <w:rsid w:val="005C6973"/>
    <w:rsid w:val="005C6B24"/>
    <w:rsid w:val="005C7E1A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95B"/>
    <w:rsid w:val="005E2A47"/>
    <w:rsid w:val="005E2A7E"/>
    <w:rsid w:val="005E3D73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54F9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0F61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691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541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4483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3D30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BFD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151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3AC"/>
    <w:rsid w:val="006B0841"/>
    <w:rsid w:val="006B0A14"/>
    <w:rsid w:val="006B122B"/>
    <w:rsid w:val="006B16A2"/>
    <w:rsid w:val="006B2137"/>
    <w:rsid w:val="006B3D30"/>
    <w:rsid w:val="006B4797"/>
    <w:rsid w:val="006B49E4"/>
    <w:rsid w:val="006B522F"/>
    <w:rsid w:val="006B5597"/>
    <w:rsid w:val="006B561C"/>
    <w:rsid w:val="006B5E7F"/>
    <w:rsid w:val="006B6440"/>
    <w:rsid w:val="006C0558"/>
    <w:rsid w:val="006C0929"/>
    <w:rsid w:val="006C168F"/>
    <w:rsid w:val="006C1D1B"/>
    <w:rsid w:val="006C281C"/>
    <w:rsid w:val="006C2F44"/>
    <w:rsid w:val="006C3B78"/>
    <w:rsid w:val="006C4510"/>
    <w:rsid w:val="006C706D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432B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305F"/>
    <w:rsid w:val="0070317D"/>
    <w:rsid w:val="007031F6"/>
    <w:rsid w:val="0070454D"/>
    <w:rsid w:val="00705058"/>
    <w:rsid w:val="007059A5"/>
    <w:rsid w:val="00705D77"/>
    <w:rsid w:val="007061CC"/>
    <w:rsid w:val="00706599"/>
    <w:rsid w:val="007066E5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279"/>
    <w:rsid w:val="007267DE"/>
    <w:rsid w:val="00726CC1"/>
    <w:rsid w:val="007271DA"/>
    <w:rsid w:val="0072772C"/>
    <w:rsid w:val="007278B3"/>
    <w:rsid w:val="00727DAB"/>
    <w:rsid w:val="0073193A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708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024"/>
    <w:rsid w:val="007A4719"/>
    <w:rsid w:val="007A5BAE"/>
    <w:rsid w:val="007A6197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5E99"/>
    <w:rsid w:val="007B6275"/>
    <w:rsid w:val="007B69B7"/>
    <w:rsid w:val="007B6CC5"/>
    <w:rsid w:val="007C016D"/>
    <w:rsid w:val="007C0E7B"/>
    <w:rsid w:val="007C26B9"/>
    <w:rsid w:val="007C2F59"/>
    <w:rsid w:val="007C30A4"/>
    <w:rsid w:val="007C31DF"/>
    <w:rsid w:val="007C33A9"/>
    <w:rsid w:val="007C492E"/>
    <w:rsid w:val="007C4BCD"/>
    <w:rsid w:val="007C606E"/>
    <w:rsid w:val="007C66D6"/>
    <w:rsid w:val="007C67EB"/>
    <w:rsid w:val="007C67ED"/>
    <w:rsid w:val="007C758C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3D0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107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3AE9"/>
    <w:rsid w:val="00814485"/>
    <w:rsid w:val="00814D29"/>
    <w:rsid w:val="00815A49"/>
    <w:rsid w:val="00815B09"/>
    <w:rsid w:val="00815FE2"/>
    <w:rsid w:val="008163BB"/>
    <w:rsid w:val="00816658"/>
    <w:rsid w:val="00817402"/>
    <w:rsid w:val="00820024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549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59D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0CA1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28C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98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4F7A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1C47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795B"/>
    <w:rsid w:val="008F7FAD"/>
    <w:rsid w:val="00900339"/>
    <w:rsid w:val="00900959"/>
    <w:rsid w:val="00901323"/>
    <w:rsid w:val="009017EC"/>
    <w:rsid w:val="00901D60"/>
    <w:rsid w:val="00901E79"/>
    <w:rsid w:val="0090260F"/>
    <w:rsid w:val="00902B83"/>
    <w:rsid w:val="00903454"/>
    <w:rsid w:val="00903533"/>
    <w:rsid w:val="00903646"/>
    <w:rsid w:val="00904B23"/>
    <w:rsid w:val="00904E11"/>
    <w:rsid w:val="009052FC"/>
    <w:rsid w:val="00905780"/>
    <w:rsid w:val="0090631D"/>
    <w:rsid w:val="00906B90"/>
    <w:rsid w:val="00907380"/>
    <w:rsid w:val="009074A3"/>
    <w:rsid w:val="00907E8F"/>
    <w:rsid w:val="00910F01"/>
    <w:rsid w:val="009112D7"/>
    <w:rsid w:val="009119B9"/>
    <w:rsid w:val="009121EC"/>
    <w:rsid w:val="00912A88"/>
    <w:rsid w:val="0091390A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6BC"/>
    <w:rsid w:val="00921E55"/>
    <w:rsid w:val="00921E69"/>
    <w:rsid w:val="009232E5"/>
    <w:rsid w:val="00923AC3"/>
    <w:rsid w:val="00923DFD"/>
    <w:rsid w:val="00927D53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0C28"/>
    <w:rsid w:val="00941AAB"/>
    <w:rsid w:val="00941AB8"/>
    <w:rsid w:val="00942A92"/>
    <w:rsid w:val="009433E4"/>
    <w:rsid w:val="0094349B"/>
    <w:rsid w:val="00944C33"/>
    <w:rsid w:val="00945AFC"/>
    <w:rsid w:val="0094618D"/>
    <w:rsid w:val="0094649C"/>
    <w:rsid w:val="00946A45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78"/>
    <w:rsid w:val="00961A90"/>
    <w:rsid w:val="00961AE9"/>
    <w:rsid w:val="0096214B"/>
    <w:rsid w:val="009635BD"/>
    <w:rsid w:val="009645B9"/>
    <w:rsid w:val="0096462D"/>
    <w:rsid w:val="00964643"/>
    <w:rsid w:val="00966611"/>
    <w:rsid w:val="00966D4A"/>
    <w:rsid w:val="0097002B"/>
    <w:rsid w:val="009703CA"/>
    <w:rsid w:val="00971C1C"/>
    <w:rsid w:val="00971E87"/>
    <w:rsid w:val="00973D79"/>
    <w:rsid w:val="0097487D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11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155"/>
    <w:rsid w:val="009A42B0"/>
    <w:rsid w:val="009A43B9"/>
    <w:rsid w:val="009A48A1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A66"/>
    <w:rsid w:val="009C0C96"/>
    <w:rsid w:val="009C0D36"/>
    <w:rsid w:val="009C2113"/>
    <w:rsid w:val="009C2326"/>
    <w:rsid w:val="009C3FD6"/>
    <w:rsid w:val="009C44D2"/>
    <w:rsid w:val="009C452C"/>
    <w:rsid w:val="009C5648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55B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222"/>
    <w:rsid w:val="009E6E25"/>
    <w:rsid w:val="009E7041"/>
    <w:rsid w:val="009E7057"/>
    <w:rsid w:val="009E7C09"/>
    <w:rsid w:val="009E7FF0"/>
    <w:rsid w:val="009F12BD"/>
    <w:rsid w:val="009F13FE"/>
    <w:rsid w:val="009F1535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3B2F"/>
    <w:rsid w:val="00A1425E"/>
    <w:rsid w:val="00A14913"/>
    <w:rsid w:val="00A154F8"/>
    <w:rsid w:val="00A17B89"/>
    <w:rsid w:val="00A203C9"/>
    <w:rsid w:val="00A209BF"/>
    <w:rsid w:val="00A21287"/>
    <w:rsid w:val="00A22790"/>
    <w:rsid w:val="00A231C4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38BB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4B21"/>
    <w:rsid w:val="00A56101"/>
    <w:rsid w:val="00A6180C"/>
    <w:rsid w:val="00A62172"/>
    <w:rsid w:val="00A62F83"/>
    <w:rsid w:val="00A632C6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405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0EB5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0A3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5AC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C740E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57B7"/>
    <w:rsid w:val="00AD62C8"/>
    <w:rsid w:val="00AD62E6"/>
    <w:rsid w:val="00AD6E94"/>
    <w:rsid w:val="00AD747A"/>
    <w:rsid w:val="00AD74A4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D31"/>
    <w:rsid w:val="00AE4F1A"/>
    <w:rsid w:val="00AE5682"/>
    <w:rsid w:val="00AE7212"/>
    <w:rsid w:val="00AE7D4B"/>
    <w:rsid w:val="00AF144C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4628"/>
    <w:rsid w:val="00B151EE"/>
    <w:rsid w:val="00B15FB2"/>
    <w:rsid w:val="00B16B2D"/>
    <w:rsid w:val="00B16EA0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687A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2C5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4BB5"/>
    <w:rsid w:val="00B55F0F"/>
    <w:rsid w:val="00B560A4"/>
    <w:rsid w:val="00B56378"/>
    <w:rsid w:val="00B57161"/>
    <w:rsid w:val="00B572B0"/>
    <w:rsid w:val="00B5756D"/>
    <w:rsid w:val="00B57B9D"/>
    <w:rsid w:val="00B6144A"/>
    <w:rsid w:val="00B62280"/>
    <w:rsid w:val="00B623BF"/>
    <w:rsid w:val="00B639A6"/>
    <w:rsid w:val="00B6422C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063"/>
    <w:rsid w:val="00B93152"/>
    <w:rsid w:val="00B9412F"/>
    <w:rsid w:val="00B9428F"/>
    <w:rsid w:val="00B945DF"/>
    <w:rsid w:val="00B94BC6"/>
    <w:rsid w:val="00B94EC1"/>
    <w:rsid w:val="00B957DD"/>
    <w:rsid w:val="00B9632C"/>
    <w:rsid w:val="00B97799"/>
    <w:rsid w:val="00B97926"/>
    <w:rsid w:val="00BA00DD"/>
    <w:rsid w:val="00BA0956"/>
    <w:rsid w:val="00BA1969"/>
    <w:rsid w:val="00BA24FF"/>
    <w:rsid w:val="00BA2C6F"/>
    <w:rsid w:val="00BA2FA3"/>
    <w:rsid w:val="00BA3CD0"/>
    <w:rsid w:val="00BA43FD"/>
    <w:rsid w:val="00BA4989"/>
    <w:rsid w:val="00BA5C99"/>
    <w:rsid w:val="00BA6B13"/>
    <w:rsid w:val="00BA7797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29B"/>
    <w:rsid w:val="00BC0494"/>
    <w:rsid w:val="00BC0565"/>
    <w:rsid w:val="00BC0B60"/>
    <w:rsid w:val="00BC0E72"/>
    <w:rsid w:val="00BC14AE"/>
    <w:rsid w:val="00BC19DE"/>
    <w:rsid w:val="00BC2E7F"/>
    <w:rsid w:val="00BC405F"/>
    <w:rsid w:val="00BC53C2"/>
    <w:rsid w:val="00BC5695"/>
    <w:rsid w:val="00BC59EE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5C0"/>
    <w:rsid w:val="00BD6B35"/>
    <w:rsid w:val="00BD7031"/>
    <w:rsid w:val="00BD7691"/>
    <w:rsid w:val="00BE04A1"/>
    <w:rsid w:val="00BE1C84"/>
    <w:rsid w:val="00BE2AEC"/>
    <w:rsid w:val="00BE3354"/>
    <w:rsid w:val="00BE3363"/>
    <w:rsid w:val="00BE3474"/>
    <w:rsid w:val="00BE3CA9"/>
    <w:rsid w:val="00BE5284"/>
    <w:rsid w:val="00BE60CF"/>
    <w:rsid w:val="00BE6179"/>
    <w:rsid w:val="00BE66E1"/>
    <w:rsid w:val="00BE6871"/>
    <w:rsid w:val="00BE6DAE"/>
    <w:rsid w:val="00BE7286"/>
    <w:rsid w:val="00BE775E"/>
    <w:rsid w:val="00BF0146"/>
    <w:rsid w:val="00BF03E4"/>
    <w:rsid w:val="00BF0D24"/>
    <w:rsid w:val="00BF1865"/>
    <w:rsid w:val="00BF1A8B"/>
    <w:rsid w:val="00BF254D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A72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0A8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674"/>
    <w:rsid w:val="00C867D4"/>
    <w:rsid w:val="00C86964"/>
    <w:rsid w:val="00C87F65"/>
    <w:rsid w:val="00C9045B"/>
    <w:rsid w:val="00C90625"/>
    <w:rsid w:val="00C90C09"/>
    <w:rsid w:val="00C90E32"/>
    <w:rsid w:val="00C912D5"/>
    <w:rsid w:val="00C91506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4B"/>
    <w:rsid w:val="00CA5BE3"/>
    <w:rsid w:val="00CA628C"/>
    <w:rsid w:val="00CA6421"/>
    <w:rsid w:val="00CA64D6"/>
    <w:rsid w:val="00CA7A7B"/>
    <w:rsid w:val="00CB1647"/>
    <w:rsid w:val="00CB1920"/>
    <w:rsid w:val="00CB1C35"/>
    <w:rsid w:val="00CB1ED9"/>
    <w:rsid w:val="00CB2C00"/>
    <w:rsid w:val="00CB3175"/>
    <w:rsid w:val="00CB33F9"/>
    <w:rsid w:val="00CB3B27"/>
    <w:rsid w:val="00CB55CC"/>
    <w:rsid w:val="00CB5771"/>
    <w:rsid w:val="00CB5C37"/>
    <w:rsid w:val="00CC166D"/>
    <w:rsid w:val="00CC262A"/>
    <w:rsid w:val="00CC2AF4"/>
    <w:rsid w:val="00CC347B"/>
    <w:rsid w:val="00CC4497"/>
    <w:rsid w:val="00CC4CBE"/>
    <w:rsid w:val="00CC600F"/>
    <w:rsid w:val="00CD0145"/>
    <w:rsid w:val="00CD0712"/>
    <w:rsid w:val="00CD1361"/>
    <w:rsid w:val="00CD228C"/>
    <w:rsid w:val="00CD3C55"/>
    <w:rsid w:val="00CD4776"/>
    <w:rsid w:val="00CD4F07"/>
    <w:rsid w:val="00CD6B56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98E"/>
    <w:rsid w:val="00CF1E83"/>
    <w:rsid w:val="00CF4BD1"/>
    <w:rsid w:val="00CF5D47"/>
    <w:rsid w:val="00CF6048"/>
    <w:rsid w:val="00CF626A"/>
    <w:rsid w:val="00CF6A7A"/>
    <w:rsid w:val="00CF7891"/>
    <w:rsid w:val="00D005A7"/>
    <w:rsid w:val="00D0087E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77D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667B"/>
    <w:rsid w:val="00D17218"/>
    <w:rsid w:val="00D17438"/>
    <w:rsid w:val="00D20598"/>
    <w:rsid w:val="00D20B0D"/>
    <w:rsid w:val="00D216DB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054"/>
    <w:rsid w:val="00D35184"/>
    <w:rsid w:val="00D35EB7"/>
    <w:rsid w:val="00D361B6"/>
    <w:rsid w:val="00D367C0"/>
    <w:rsid w:val="00D36A67"/>
    <w:rsid w:val="00D37B7E"/>
    <w:rsid w:val="00D40068"/>
    <w:rsid w:val="00D40292"/>
    <w:rsid w:val="00D40AB6"/>
    <w:rsid w:val="00D418CE"/>
    <w:rsid w:val="00D41F5D"/>
    <w:rsid w:val="00D4277B"/>
    <w:rsid w:val="00D43AEE"/>
    <w:rsid w:val="00D43EB2"/>
    <w:rsid w:val="00D44207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1EA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3C8"/>
    <w:rsid w:val="00D879E6"/>
    <w:rsid w:val="00D87C61"/>
    <w:rsid w:val="00D902CC"/>
    <w:rsid w:val="00D90C0A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0048"/>
    <w:rsid w:val="00DA1CD0"/>
    <w:rsid w:val="00DA3AE0"/>
    <w:rsid w:val="00DA4056"/>
    <w:rsid w:val="00DA4482"/>
    <w:rsid w:val="00DA4818"/>
    <w:rsid w:val="00DA545E"/>
    <w:rsid w:val="00DA68A6"/>
    <w:rsid w:val="00DA6F0C"/>
    <w:rsid w:val="00DA6F8A"/>
    <w:rsid w:val="00DA7121"/>
    <w:rsid w:val="00DB0147"/>
    <w:rsid w:val="00DB052D"/>
    <w:rsid w:val="00DB094E"/>
    <w:rsid w:val="00DB0F90"/>
    <w:rsid w:val="00DB1133"/>
    <w:rsid w:val="00DB1205"/>
    <w:rsid w:val="00DB17A5"/>
    <w:rsid w:val="00DB2D28"/>
    <w:rsid w:val="00DB311B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4FB"/>
    <w:rsid w:val="00DC2BF6"/>
    <w:rsid w:val="00DC3E06"/>
    <w:rsid w:val="00DC43DC"/>
    <w:rsid w:val="00DC4D94"/>
    <w:rsid w:val="00DC5825"/>
    <w:rsid w:val="00DC5B31"/>
    <w:rsid w:val="00DC6959"/>
    <w:rsid w:val="00DC6F13"/>
    <w:rsid w:val="00DD0CBD"/>
    <w:rsid w:val="00DD1059"/>
    <w:rsid w:val="00DD1095"/>
    <w:rsid w:val="00DD1290"/>
    <w:rsid w:val="00DD1315"/>
    <w:rsid w:val="00DD1471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277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12C"/>
    <w:rsid w:val="00DF1E48"/>
    <w:rsid w:val="00DF1F0E"/>
    <w:rsid w:val="00DF216B"/>
    <w:rsid w:val="00DF3F09"/>
    <w:rsid w:val="00DF525C"/>
    <w:rsid w:val="00DF5286"/>
    <w:rsid w:val="00DF567F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8CB"/>
    <w:rsid w:val="00E30E79"/>
    <w:rsid w:val="00E30EC7"/>
    <w:rsid w:val="00E3228F"/>
    <w:rsid w:val="00E32940"/>
    <w:rsid w:val="00E34258"/>
    <w:rsid w:val="00E34312"/>
    <w:rsid w:val="00E366F2"/>
    <w:rsid w:val="00E3698F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3540"/>
    <w:rsid w:val="00E541BE"/>
    <w:rsid w:val="00E542F8"/>
    <w:rsid w:val="00E54CD9"/>
    <w:rsid w:val="00E552E5"/>
    <w:rsid w:val="00E566FC"/>
    <w:rsid w:val="00E569E6"/>
    <w:rsid w:val="00E57312"/>
    <w:rsid w:val="00E6026C"/>
    <w:rsid w:val="00E603B8"/>
    <w:rsid w:val="00E6107E"/>
    <w:rsid w:val="00E6228B"/>
    <w:rsid w:val="00E624A0"/>
    <w:rsid w:val="00E648A6"/>
    <w:rsid w:val="00E64A23"/>
    <w:rsid w:val="00E64A60"/>
    <w:rsid w:val="00E64B18"/>
    <w:rsid w:val="00E65989"/>
    <w:rsid w:val="00E65DF5"/>
    <w:rsid w:val="00E66A43"/>
    <w:rsid w:val="00E67067"/>
    <w:rsid w:val="00E673E7"/>
    <w:rsid w:val="00E70338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6FA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330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1958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04F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5E29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3BF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897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66F4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1C6B"/>
    <w:rsid w:val="00F727F7"/>
    <w:rsid w:val="00F7391F"/>
    <w:rsid w:val="00F74A39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4EF3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6FD2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A56"/>
    <w:rsid w:val="00FE7A88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F6AFB"/>
  <w15:chartTrackingRefBased/>
  <w15:docId w15:val="{174F794B-8F89-40BD-AF86-8CD4EE3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E4D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05A72"/>
    <w:rPr>
      <w:color w:val="0000FF"/>
      <w:u w:val="single"/>
    </w:rPr>
  </w:style>
  <w:style w:type="paragraph" w:customStyle="1" w:styleId="testoxRiferimento">
    <w:name w:val="testo (x Riferimento)"/>
    <w:basedOn w:val="Normale"/>
    <w:rsid w:val="00B14628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IN">
    <w:name w:val="IN"/>
    <w:rsid w:val="00B14628"/>
    <w:pPr>
      <w:spacing w:line="482" w:lineRule="exact"/>
      <w:jc w:val="both"/>
    </w:pPr>
    <w:rPr>
      <w:rFonts w:ascii="Courier" w:hAnsi="Courier"/>
      <w:sz w:val="24"/>
    </w:rPr>
  </w:style>
  <w:style w:type="paragraph" w:customStyle="1" w:styleId="a">
    <w:basedOn w:val="Normale"/>
    <w:next w:val="Corpotesto"/>
    <w:rsid w:val="00D0087E"/>
    <w:rPr>
      <w:szCs w:val="20"/>
    </w:rPr>
  </w:style>
  <w:style w:type="paragraph" w:styleId="Corpotesto">
    <w:name w:val="Body Text"/>
    <w:basedOn w:val="Normale"/>
    <w:link w:val="CorpotestoCarattere"/>
    <w:rsid w:val="00D0087E"/>
    <w:pPr>
      <w:spacing w:after="120"/>
    </w:pPr>
  </w:style>
  <w:style w:type="character" w:customStyle="1" w:styleId="CorpotestoCarattere">
    <w:name w:val="Corpo testo Carattere"/>
    <w:link w:val="Corpotesto"/>
    <w:rsid w:val="00D0087E"/>
    <w:rPr>
      <w:sz w:val="24"/>
      <w:szCs w:val="24"/>
    </w:rPr>
  </w:style>
  <w:style w:type="paragraph" w:styleId="Nessunaspaziatura">
    <w:name w:val="No Spacing"/>
    <w:uiPriority w:val="1"/>
    <w:qFormat/>
    <w:rsid w:val="002B3409"/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qFormat/>
    <w:rsid w:val="008F7FAD"/>
    <w:rPr>
      <w:i/>
      <w:iCs/>
    </w:rPr>
  </w:style>
  <w:style w:type="paragraph" w:styleId="NormaleWeb">
    <w:name w:val="Normal (Web)"/>
    <w:basedOn w:val="Normale"/>
    <w:uiPriority w:val="99"/>
    <w:unhideWhenUsed/>
    <w:rsid w:val="008F7FA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8F7FA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8F7F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7FAD"/>
  </w:style>
  <w:style w:type="character" w:styleId="Rimandonotaapidipagina">
    <w:name w:val="footnote reference"/>
    <w:rsid w:val="008F7FAD"/>
    <w:rPr>
      <w:vertAlign w:val="superscript"/>
    </w:rPr>
  </w:style>
  <w:style w:type="character" w:styleId="Rimandocommento">
    <w:name w:val="annotation reference"/>
    <w:rsid w:val="0050092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0092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00928"/>
  </w:style>
  <w:style w:type="paragraph" w:styleId="Soggettocommento">
    <w:name w:val="annotation subject"/>
    <w:basedOn w:val="Testocommento"/>
    <w:next w:val="Testocommento"/>
    <w:link w:val="SoggettocommentoCarattere"/>
    <w:rsid w:val="00500928"/>
    <w:rPr>
      <w:b/>
      <w:bCs/>
    </w:rPr>
  </w:style>
  <w:style w:type="character" w:customStyle="1" w:styleId="SoggettocommentoCarattere">
    <w:name w:val="Soggetto commento Carattere"/>
    <w:link w:val="Soggettocommento"/>
    <w:rsid w:val="00500928"/>
    <w:rPr>
      <w:b/>
      <w:bCs/>
    </w:rPr>
  </w:style>
  <w:style w:type="character" w:customStyle="1" w:styleId="Menzionenonrisolta1">
    <w:name w:val="Menzione non risolta1"/>
    <w:uiPriority w:val="99"/>
    <w:semiHidden/>
    <w:unhideWhenUsed/>
    <w:rsid w:val="00E308CB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23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5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5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36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0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4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3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8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0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mec.dipartimento@pec.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1661</Words>
  <Characters>10143</Characters>
  <Application>Microsoft Office Word</Application>
  <DocSecurity>0</DocSecurity>
  <Lines>234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Università di Bologna</Company>
  <LinksUpToDate>false</LinksUpToDate>
  <CharactersWithSpaces>11736</CharactersWithSpaces>
  <SharedDoc>false</SharedDoc>
  <HLinks>
    <vt:vector size="12" baseType="variant">
      <vt:variant>
        <vt:i4>7929880</vt:i4>
      </vt:variant>
      <vt:variant>
        <vt:i4>0</vt:i4>
      </vt:variant>
      <vt:variant>
        <vt:i4>0</vt:i4>
      </vt:variant>
      <vt:variant>
        <vt:i4>5</vt:i4>
      </vt:variant>
      <vt:variant>
        <vt:lpwstr>https://www.aricweb.unibo.it/AssegniRicerca_Richieste/index.aspx</vt:lpwstr>
      </vt:variant>
      <vt:variant>
        <vt:lpwstr/>
      </vt:variant>
      <vt:variant>
        <vt:i4>4915313</vt:i4>
      </vt:variant>
      <vt:variant>
        <vt:i4>0</vt:i4>
      </vt:variant>
      <vt:variant>
        <vt:i4>0</vt:i4>
      </vt:variant>
      <vt:variant>
        <vt:i4>5</vt:i4>
      </vt:variant>
      <vt:variant>
        <vt:lpwstr>mailto:dimec.dipartimento@pec.unibo.it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cp:lastModifiedBy>Giuseppe Gasparre</cp:lastModifiedBy>
  <cp:revision>5</cp:revision>
  <cp:lastPrinted>2017-02-03T09:22:00Z</cp:lastPrinted>
  <dcterms:created xsi:type="dcterms:W3CDTF">2022-10-04T11:01:00Z</dcterms:created>
  <dcterms:modified xsi:type="dcterms:W3CDTF">2022-10-04T11:05:00Z</dcterms:modified>
</cp:coreProperties>
</file>